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C2" w:rsidRPr="00DA1924" w:rsidRDefault="00151CC2" w:rsidP="00DA1924">
      <w:pPr>
        <w:ind w:left="2832"/>
        <w:jc w:val="center"/>
        <w:rPr>
          <w:rFonts w:asciiTheme="minorHAnsi" w:hAnsiTheme="minorHAnsi" w:cstheme="minorHAnsi"/>
          <w:b/>
          <w:color w:val="06148C"/>
          <w:sz w:val="28"/>
          <w:szCs w:val="24"/>
        </w:rPr>
      </w:pPr>
      <w:r w:rsidRPr="00DA1924">
        <w:rPr>
          <w:rFonts w:asciiTheme="minorHAnsi" w:hAnsiTheme="minorHAnsi" w:cstheme="minorHAnsi"/>
          <w:b/>
          <w:color w:val="06148C"/>
          <w:sz w:val="28"/>
          <w:szCs w:val="24"/>
        </w:rPr>
        <w:t xml:space="preserve">CONTRAT D’APPRENTISSAGE </w:t>
      </w:r>
    </w:p>
    <w:p w:rsidR="00151CC2" w:rsidRPr="00DA1924" w:rsidRDefault="00151CC2" w:rsidP="00151CC2">
      <w:pPr>
        <w:jc w:val="center"/>
        <w:rPr>
          <w:rFonts w:asciiTheme="minorHAnsi" w:hAnsiTheme="minorHAnsi" w:cstheme="minorHAnsi"/>
          <w:color w:val="06148C"/>
          <w:sz w:val="24"/>
          <w:szCs w:val="24"/>
        </w:rPr>
      </w:pPr>
    </w:p>
    <w:p w:rsidR="00FA0FAA" w:rsidRPr="00DA1924" w:rsidRDefault="00FA0FAA" w:rsidP="00151CC2">
      <w:pPr>
        <w:pStyle w:val="Corpsdetexte"/>
        <w:jc w:val="both"/>
        <w:rPr>
          <w:rStyle w:val="lev"/>
          <w:rFonts w:asciiTheme="minorHAnsi" w:hAnsiTheme="minorHAnsi" w:cstheme="minorHAnsi"/>
          <w:color w:val="06148C"/>
          <w:szCs w:val="24"/>
        </w:rPr>
      </w:pPr>
    </w:p>
    <w:p w:rsidR="00FA0FAA" w:rsidRPr="00DA1924" w:rsidRDefault="00FA0FAA" w:rsidP="00151CC2">
      <w:pPr>
        <w:jc w:val="both"/>
        <w:rPr>
          <w:rFonts w:asciiTheme="minorHAnsi" w:hAnsiTheme="minorHAnsi" w:cstheme="minorHAnsi"/>
          <w:color w:val="06148C"/>
          <w:sz w:val="24"/>
          <w:szCs w:val="24"/>
        </w:rPr>
      </w:pPr>
    </w:p>
    <w:p w:rsidR="0084562D" w:rsidRDefault="0084562D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84562D" w:rsidRDefault="0084562D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84562D" w:rsidRDefault="0084562D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094D4F" w:rsidRPr="00DA1924" w:rsidRDefault="00151CC2" w:rsidP="00E34246">
      <w:pPr>
        <w:spacing w:before="1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</w:t>
      </w:r>
      <w:r w:rsidR="00094D4F" w:rsidRPr="00DA1924">
        <w:rPr>
          <w:rFonts w:asciiTheme="minorHAnsi" w:hAnsiTheme="minorHAnsi" w:cstheme="minorHAnsi"/>
          <w:color w:val="06148C"/>
          <w:sz w:val="22"/>
          <w:szCs w:val="22"/>
        </w:rPr>
        <w:t>le Code général des collectivités territoriales,</w:t>
      </w:r>
    </w:p>
    <w:p w:rsidR="00C4645A" w:rsidRPr="00DA1924" w:rsidRDefault="00094D4F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</w:t>
      </w:r>
      <w:r w:rsidR="00151CC2" w:rsidRPr="00DA1924">
        <w:rPr>
          <w:rFonts w:asciiTheme="minorHAnsi" w:hAnsiTheme="minorHAnsi" w:cstheme="minorHAnsi"/>
          <w:color w:val="06148C"/>
          <w:sz w:val="22"/>
          <w:szCs w:val="22"/>
        </w:rPr>
        <w:t>le Code du travail,</w:t>
      </w:r>
    </w:p>
    <w:p w:rsidR="00C4645A" w:rsidRPr="00DA1924" w:rsidRDefault="00C4645A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publique,</w:t>
      </w:r>
    </w:p>
    <w:p w:rsidR="00274A61" w:rsidRPr="00DA1924" w:rsidRDefault="00274A61" w:rsidP="00274A61">
      <w:pPr>
        <w:pStyle w:val="Corpsdetexte"/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 xml:space="preserve">Vu la </w:t>
      </w:r>
      <w:r w:rsidR="00997237"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l</w:t>
      </w: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oi n° 92-675 du 17 juillet 1992 portant diverses dispositions relatives à l'apprentissage, à la formation professionnelle et modifiant le code du travail</w:t>
      </w:r>
      <w:r w:rsidR="0034689A"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,</w:t>
      </w:r>
    </w:p>
    <w:p w:rsidR="00274A61" w:rsidRPr="00DA1924" w:rsidRDefault="00274A61" w:rsidP="00274A61">
      <w:pPr>
        <w:pStyle w:val="Corpsdetexte"/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</w:t>
      </w:r>
      <w:r w:rsidR="00A17100" w:rsidRPr="00DA1924">
        <w:rPr>
          <w:rFonts w:asciiTheme="minorHAnsi" w:hAnsiTheme="minorHAnsi" w:cstheme="minorHAnsi"/>
          <w:color w:val="06148C"/>
          <w:sz w:val="22"/>
          <w:szCs w:val="22"/>
        </w:rPr>
        <w:t>la loi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n° 97-940 du 16 octobre 1997 relative au développement d'activités pour l'emploi des jeunes</w:t>
      </w:r>
      <w:r w:rsidR="0034689A"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,</w:t>
      </w:r>
    </w:p>
    <w:p w:rsidR="00D02DF8" w:rsidRPr="00DA1924" w:rsidRDefault="00D02DF8" w:rsidP="00274A61">
      <w:pPr>
        <w:pStyle w:val="Corpsdetexte"/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la </w:t>
      </w: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 xml:space="preserve">loi n° 2005-32 du 18 janvier 2005 de programmation pour la cohésion sociale, </w:t>
      </w:r>
    </w:p>
    <w:p w:rsidR="00C90D3E" w:rsidRPr="00DA1924" w:rsidRDefault="00C90D3E" w:rsidP="00274A61">
      <w:pPr>
        <w:pStyle w:val="Corpsdetexte"/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 xml:space="preserve">Vu </w:t>
      </w:r>
      <w:r w:rsidR="00A17100"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la loi n° 2009-1437 du 24 novembre 2009 relative à l'orientation et à la formation professionnelle tout au long de la vie,</w:t>
      </w:r>
    </w:p>
    <w:p w:rsidR="00A56B47" w:rsidRPr="00DA1924" w:rsidRDefault="00A56B47" w:rsidP="00A56B47">
      <w:pPr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la </w:t>
      </w: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loi n° 2013-595 du 8 juillet 2013 d'orientation et de programmation pour la refondation de l'école de la République,</w:t>
      </w:r>
    </w:p>
    <w:p w:rsidR="0034689A" w:rsidRPr="00DA1924" w:rsidRDefault="00D02DF8" w:rsidP="00274A61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Vu la loi n°2018-771 du 5 septembre 2018 pour la liberté de choisir son avenir professionnel</w:t>
      </w:r>
      <w:r w:rsidR="0034689A"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,</w:t>
      </w:r>
    </w:p>
    <w:p w:rsidR="001C149E" w:rsidRPr="00DA1924" w:rsidRDefault="001C149E" w:rsidP="001C149E">
      <w:pPr>
        <w:pStyle w:val="Corpsdetexte"/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Vu le décret n° 85-603 10 juin 1985 relatif à l’hygiène et la sécurité du travail ainsi qu’à la médecine</w:t>
      </w:r>
      <w:r w:rsidR="00016B04"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 xml:space="preserve"> </w:t>
      </w: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professionnelle et préventive dans la fonction publique territoriale,</w:t>
      </w:r>
      <w:bookmarkStart w:id="0" w:name="_GoBack"/>
      <w:bookmarkEnd w:id="0"/>
    </w:p>
    <w:p w:rsidR="0034689A" w:rsidRPr="00DA1924" w:rsidRDefault="0034689A" w:rsidP="00274A61">
      <w:pPr>
        <w:pStyle w:val="Corpsdetexte"/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Vu le décret n°2005-129 du 15 février 2005 relatif aux dérogations à la limite d'âge supérieure d'entrée en apprentissage,</w:t>
      </w:r>
    </w:p>
    <w:p w:rsidR="00016B04" w:rsidRPr="00DA1924" w:rsidRDefault="00016B04" w:rsidP="00016B04">
      <w:pPr>
        <w:pStyle w:val="Corpsdetexte"/>
        <w:jc w:val="both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DA1924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Vu le décret n°2006-779 du 3 juillet 2006 portant attribution de la nouvelle bonification indiciaire à certains personnels de la fonction publique territoriale,</w:t>
      </w:r>
    </w:p>
    <w:p w:rsidR="00A56B47" w:rsidRPr="00DA1924" w:rsidRDefault="00A56B47" w:rsidP="00274A61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Vu le</w:t>
      </w:r>
      <w:r w:rsidR="00B13FF5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décret n°2016-456 du 12 avril 2016 abrogeant le décret n°92-1258 du 30 novembre 1992 pris en application de la loi n°92-675 du 17 juillet 1992 portant diverses dispositions relatives à l'apprentissage et à la formation professionnelle et plus particulièrement le chapitre II concernant l'expérimentation de l'apprentissage dans le secteur public non industriel et commercial,</w:t>
      </w:r>
    </w:p>
    <w:p w:rsidR="00740746" w:rsidRPr="00DA1924" w:rsidRDefault="00740746" w:rsidP="00740746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Vu le décret n° 2017-199 du 16 février 2017 relatif à l'exécution du contrat d'apprentissage dans le secteur public non industriel et commercial,</w:t>
      </w:r>
    </w:p>
    <w:p w:rsidR="00740746" w:rsidRPr="00DA1924" w:rsidRDefault="00740746" w:rsidP="00274A61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Vu le décret n°2018-1347 du 28 décembre 2018 relatif à la rémunération des apprentis,</w:t>
      </w:r>
    </w:p>
    <w:p w:rsidR="00740746" w:rsidRPr="00DA1924" w:rsidRDefault="00740746" w:rsidP="00274A61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Vu le décret n°2019-32 du 18 janvier 2019 relatif aux compétences professionnelles exigées des maîtres d'apprentissage dans le secteur public non industriel et commercial,</w:t>
      </w:r>
    </w:p>
    <w:p w:rsidR="00740746" w:rsidRPr="00DA1924" w:rsidRDefault="00740746" w:rsidP="00274A61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Vu le décret</w:t>
      </w:r>
      <w:r w:rsidR="001C149E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n°2020-373 du 30 mars 2020 relatif à la rémunération des apprentis et portant diverses adaptations de la partie réglementaire du code du travail relatives à l'apprentissage,</w:t>
      </w:r>
    </w:p>
    <w:p w:rsidR="00FD5BC9" w:rsidRPr="00DA1924" w:rsidRDefault="00FD5BC9" w:rsidP="00274A6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Vu la Circulaire n° 6394-SG du 10 mars 2023 relative au renforcement du recrutement d’apprentis dans la fonction publique pour les années 2023-2026,</w:t>
      </w:r>
    </w:p>
    <w:p w:rsidR="00274A61" w:rsidRPr="00DA1924" w:rsidRDefault="00274A61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l’avis du Comité </w:t>
      </w:r>
      <w:r w:rsidR="005B2CDA" w:rsidRPr="00DA1924">
        <w:rPr>
          <w:rFonts w:asciiTheme="minorHAnsi" w:hAnsiTheme="minorHAnsi" w:cstheme="minorHAnsi"/>
          <w:color w:val="06148C"/>
          <w:sz w:val="22"/>
          <w:szCs w:val="22"/>
        </w:rPr>
        <w:t>Social Territorial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en date du </w:t>
      </w: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… 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>,</w:t>
      </w:r>
      <w:proofErr w:type="gramEnd"/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la délibération n°… en date du…, autorisant M… </w:t>
      </w:r>
      <w:r w:rsidRPr="00DA1924">
        <w:rPr>
          <w:rFonts w:asciiTheme="minorHAnsi" w:hAnsiTheme="minorHAnsi" w:cstheme="minorHAnsi"/>
          <w:i/>
          <w:iCs/>
          <w:color w:val="06148C"/>
          <w:sz w:val="22"/>
          <w:szCs w:val="22"/>
        </w:rPr>
        <w:t>(Maire ou président)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à établir un </w:t>
      </w:r>
      <w:r w:rsidR="00274A61" w:rsidRPr="00DA1924">
        <w:rPr>
          <w:rFonts w:asciiTheme="minorHAnsi" w:hAnsiTheme="minorHAnsi" w:cstheme="minorHAnsi"/>
          <w:color w:val="06148C"/>
          <w:sz w:val="22"/>
          <w:szCs w:val="22"/>
        </w:rPr>
        <w:t>contrat d’apprentissage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Vu </w:t>
      </w:r>
      <w:r w:rsidR="00274A61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le formulaire </w:t>
      </w:r>
      <w:r w:rsidR="00274A61" w:rsidRPr="00DA1924">
        <w:rPr>
          <w:rFonts w:asciiTheme="minorHAnsi" w:eastAsiaTheme="minorHAnsi" w:hAnsiTheme="minorHAnsi" w:cstheme="minorHAnsi"/>
          <w:color w:val="06148C"/>
          <w:sz w:val="22"/>
          <w:szCs w:val="22"/>
          <w:lang w:eastAsia="en-US"/>
        </w:rPr>
        <w:t>CERFA FA13 N° 10103*</w:t>
      </w:r>
      <w:r w:rsidR="00EB77CD" w:rsidRPr="00DA1924">
        <w:rPr>
          <w:rFonts w:asciiTheme="minorHAnsi" w:eastAsiaTheme="minorHAnsi" w:hAnsiTheme="minorHAnsi" w:cstheme="minorHAnsi"/>
          <w:color w:val="06148C"/>
          <w:sz w:val="22"/>
          <w:szCs w:val="22"/>
          <w:lang w:eastAsia="en-US"/>
        </w:rPr>
        <w:t>10</w:t>
      </w:r>
      <w:r w:rsidR="00274A61" w:rsidRPr="00DA1924">
        <w:rPr>
          <w:rFonts w:asciiTheme="minorHAnsi" w:eastAsia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274A61" w:rsidRPr="00DA1924">
        <w:rPr>
          <w:rFonts w:asciiTheme="minorHAnsi" w:hAnsiTheme="minorHAnsi" w:cstheme="minorHAnsi"/>
          <w:color w:val="06148C"/>
          <w:sz w:val="22"/>
          <w:szCs w:val="22"/>
        </w:rPr>
        <w:t>en date du … ci-joint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151CC2" w:rsidRPr="00DA1924" w:rsidRDefault="00151CC2" w:rsidP="00151CC2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274A61" w:rsidRPr="00DA1924" w:rsidRDefault="00274A61" w:rsidP="00274A61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>Entre les soussignés,</w:t>
      </w:r>
    </w:p>
    <w:p w:rsidR="00274A61" w:rsidRPr="00DA1924" w:rsidRDefault="00274A61" w:rsidP="00274A6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274A61" w:rsidRPr="00DA1924" w:rsidRDefault="00274A61" w:rsidP="00274A61">
      <w:pPr>
        <w:spacing w:after="60" w:line="240" w:lineRule="exact"/>
        <w:jc w:val="both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M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onsieur </w:t>
      </w:r>
      <w:r w:rsidR="0034689A" w:rsidRPr="00DA1924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(ou </w:t>
      </w:r>
      <w:proofErr w:type="gramStart"/>
      <w:r w:rsidR="0034689A" w:rsidRPr="00DA1924">
        <w:rPr>
          <w:rFonts w:asciiTheme="minorHAnsi" w:hAnsiTheme="minorHAnsi" w:cstheme="minorHAnsi"/>
          <w:i/>
          <w:color w:val="06148C"/>
          <w:sz w:val="22"/>
          <w:szCs w:val="22"/>
        </w:rPr>
        <w:t>Madame)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…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>, Maire (</w:t>
      </w:r>
      <w:r w:rsidRPr="00DA1924">
        <w:rPr>
          <w:rFonts w:asciiTheme="minorHAnsi" w:hAnsiTheme="minorHAnsi" w:cstheme="minorHAnsi"/>
          <w:i/>
          <w:color w:val="06148C"/>
          <w:sz w:val="22"/>
          <w:szCs w:val="22"/>
        </w:rPr>
        <w:t>ou Président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) de la commune de… et dûment habilité</w:t>
      </w:r>
      <w:r w:rsidRPr="00DA1924">
        <w:rPr>
          <w:rFonts w:asciiTheme="minorHAnsi" w:hAnsiTheme="minorHAnsi" w:cstheme="minorHAnsi"/>
          <w:i/>
          <w:iCs/>
          <w:color w:val="06148C"/>
          <w:sz w:val="22"/>
          <w:szCs w:val="22"/>
        </w:rPr>
        <w:t>(e)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par délibération du  conseil municipal en date du…,</w:t>
      </w:r>
    </w:p>
    <w:p w:rsidR="00274A61" w:rsidRPr="00DA1924" w:rsidRDefault="00274A61" w:rsidP="00274A6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274A61" w:rsidRPr="00DA1924" w:rsidRDefault="00BE00C3" w:rsidP="00274A6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D’une</w:t>
      </w:r>
      <w:r w:rsidR="00274A61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part,</w:t>
      </w:r>
    </w:p>
    <w:p w:rsidR="00274A61" w:rsidRPr="00DA1924" w:rsidRDefault="00274A61" w:rsidP="00274A6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274A61" w:rsidRPr="00DA1924" w:rsidRDefault="00274A61" w:rsidP="00274A61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>et</w:t>
      </w:r>
      <w:proofErr w:type="gramEnd"/>
    </w:p>
    <w:p w:rsidR="00274A61" w:rsidRPr="00DA1924" w:rsidRDefault="00274A61" w:rsidP="00274A6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274A61" w:rsidRPr="00DA1924" w:rsidRDefault="00274A61" w:rsidP="00274A61">
      <w:pPr>
        <w:tabs>
          <w:tab w:val="left" w:pos="5580"/>
        </w:tabs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bCs/>
          <w:color w:val="06148C"/>
          <w:sz w:val="22"/>
          <w:szCs w:val="22"/>
        </w:rPr>
        <w:t>M</w:t>
      </w:r>
      <w:r w:rsidR="0034689A" w:rsidRPr="00DA1924">
        <w:rPr>
          <w:rFonts w:asciiTheme="minorHAnsi" w:hAnsiTheme="minorHAnsi" w:cstheme="minorHAnsi"/>
          <w:bCs/>
          <w:color w:val="06148C"/>
          <w:sz w:val="22"/>
          <w:szCs w:val="22"/>
        </w:rPr>
        <w:t xml:space="preserve">onsieur </w:t>
      </w:r>
      <w:r w:rsidR="0034689A" w:rsidRPr="00DA1924">
        <w:rPr>
          <w:rFonts w:asciiTheme="minorHAnsi" w:hAnsiTheme="minorHAnsi" w:cstheme="minorHAnsi"/>
          <w:bCs/>
          <w:i/>
          <w:color w:val="06148C"/>
          <w:sz w:val="22"/>
          <w:szCs w:val="22"/>
        </w:rPr>
        <w:t xml:space="preserve">(ou </w:t>
      </w:r>
      <w:proofErr w:type="gramStart"/>
      <w:r w:rsidR="0034689A" w:rsidRPr="00DA1924">
        <w:rPr>
          <w:rFonts w:asciiTheme="minorHAnsi" w:hAnsiTheme="minorHAnsi" w:cstheme="minorHAnsi"/>
          <w:bCs/>
          <w:i/>
          <w:color w:val="06148C"/>
          <w:sz w:val="22"/>
          <w:szCs w:val="22"/>
        </w:rPr>
        <w:t>Madame)</w:t>
      </w:r>
      <w:r w:rsidRPr="00DA1924">
        <w:rPr>
          <w:rFonts w:asciiTheme="minorHAnsi" w:hAnsiTheme="minorHAnsi" w:cstheme="minorHAnsi"/>
          <w:bCs/>
          <w:color w:val="06148C"/>
          <w:sz w:val="22"/>
          <w:szCs w:val="22"/>
        </w:rPr>
        <w:t>…</w:t>
      </w:r>
      <w:proofErr w:type="gramEnd"/>
      <w:r w:rsidRPr="00DA1924">
        <w:rPr>
          <w:rFonts w:asciiTheme="minorHAnsi" w:hAnsiTheme="minorHAnsi" w:cstheme="minorHAnsi"/>
          <w:b/>
          <w:bCs/>
          <w:color w:val="06148C"/>
          <w:sz w:val="22"/>
          <w:szCs w:val="22"/>
        </w:rPr>
        <w:t xml:space="preserve"> 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né(</w:t>
      </w:r>
      <w:r w:rsidRPr="00DA1924">
        <w:rPr>
          <w:rFonts w:asciiTheme="minorHAnsi" w:hAnsiTheme="minorHAnsi" w:cstheme="minorHAnsi"/>
          <w:i/>
          <w:color w:val="06148C"/>
          <w:sz w:val="22"/>
          <w:szCs w:val="22"/>
        </w:rPr>
        <w:t>e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) le…, domicilié(e) à …</w:t>
      </w:r>
    </w:p>
    <w:p w:rsidR="00274A61" w:rsidRPr="00DA1924" w:rsidRDefault="00274A61" w:rsidP="00274A6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Default="00BE00C3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D’autre</w:t>
      </w:r>
      <w:r w:rsidR="00274A61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part,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lastRenderedPageBreak/>
        <w:t>Article 1</w:t>
      </w:r>
      <w:r w:rsidR="0034689A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  <w:vertAlign w:val="superscript"/>
        </w:rPr>
        <w:t>er</w:t>
      </w:r>
      <w:r w:rsidR="0034689A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 xml:space="preserve"> : </w:t>
      </w:r>
      <w:r w:rsidR="00012B77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Durée du contrat</w:t>
      </w:r>
    </w:p>
    <w:p w:rsidR="0034689A" w:rsidRPr="00DA1924" w:rsidRDefault="00151CC2" w:rsidP="00346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Le présent contrat est conc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>lu pour une durée déterminée de …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ans 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à compter du … au … 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151CC2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Article</w:t>
      </w:r>
      <w:r w:rsidR="0034689A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 xml:space="preserve"> 2 :</w:t>
      </w:r>
      <w:r w:rsidR="00012B77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 xml:space="preserve"> Objet</w:t>
      </w: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M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>onsieur (</w:t>
      </w:r>
      <w:r w:rsidR="0034689A" w:rsidRPr="00DA1924">
        <w:rPr>
          <w:rFonts w:asciiTheme="minorHAnsi" w:hAnsiTheme="minorHAnsi" w:cstheme="minorHAnsi"/>
          <w:i/>
          <w:color w:val="06148C"/>
          <w:sz w:val="22"/>
          <w:szCs w:val="22"/>
        </w:rPr>
        <w:t>ou Madame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) … 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est engagé(e) à </w:t>
      </w: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temps complet en qualité </w:t>
      </w:r>
      <w:r w:rsidR="00EB77CD" w:rsidRPr="00DA1924">
        <w:rPr>
          <w:rFonts w:asciiTheme="minorHAnsi" w:hAnsiTheme="minorHAnsi" w:cstheme="minorHAnsi"/>
          <w:b/>
          <w:color w:val="06148C"/>
          <w:sz w:val="22"/>
          <w:szCs w:val="22"/>
        </w:rPr>
        <w:t>d’apprenti</w:t>
      </w:r>
      <w:r w:rsidR="00EB77CD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afin exécuter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les tâches suivantes : </w:t>
      </w:r>
    </w:p>
    <w:p w:rsidR="00151CC2" w:rsidRPr="00DA1924" w:rsidRDefault="00D9204F" w:rsidP="00D9204F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…</w:t>
      </w:r>
    </w:p>
    <w:p w:rsidR="00D9204F" w:rsidRPr="00DA1924" w:rsidRDefault="00D9204F" w:rsidP="00151CC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…</w:t>
      </w:r>
    </w:p>
    <w:p w:rsidR="006334F1" w:rsidRPr="00DA1924" w:rsidRDefault="006334F1" w:rsidP="006334F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34689A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 xml:space="preserve">Article 3 : </w:t>
      </w:r>
      <w:r w:rsidR="00151CC2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Rép</w:t>
      </w:r>
      <w:r w:rsidR="00012B77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artition de la durée du travail</w:t>
      </w:r>
    </w:p>
    <w:p w:rsidR="0034689A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M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onsieur </w:t>
      </w:r>
      <w:r w:rsidR="0034689A" w:rsidRPr="00DA1924">
        <w:rPr>
          <w:rFonts w:asciiTheme="minorHAnsi" w:hAnsiTheme="minorHAnsi" w:cstheme="minorHAnsi"/>
          <w:i/>
          <w:color w:val="06148C"/>
          <w:sz w:val="22"/>
          <w:szCs w:val="22"/>
        </w:rPr>
        <w:t>(ou Madame)</w:t>
      </w:r>
      <w:r w:rsidR="0034689A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… 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effectuera </w:t>
      </w: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>35 heures par semaine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soit 151h67 mensuelles. 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La durée de travail qui lui est applicable comprend le temps passé en collectivité et les heures de formation en centre de formation des apprentis (CFA). </w:t>
      </w:r>
    </w:p>
    <w:p w:rsidR="008C0B3D" w:rsidRPr="00DA1924" w:rsidRDefault="008C0B3D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  <w:u w:val="single"/>
        </w:rPr>
      </w:pPr>
    </w:p>
    <w:p w:rsidR="00151CC2" w:rsidRPr="00DA1924" w:rsidRDefault="0034689A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Article 4 :</w:t>
      </w:r>
      <w:r w:rsidR="00151CC2"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 xml:space="preserve"> Conditions d’exécution</w:t>
      </w: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Le présent contrat de droit privé est régi par les dispositions légales et réglementaires relatives aux contrats d’apprentissage, conformément aux articles du Code du Travail </w:t>
      </w:r>
      <w:r w:rsidR="00A23B53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et des textes 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ci-dessus référencés.</w:t>
      </w:r>
    </w:p>
    <w:p w:rsidR="00A23B53" w:rsidRPr="00DA1924" w:rsidRDefault="00A23B53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Il pourra être rompu par l’une ou l’autre des parties durant </w:t>
      </w: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les </w:t>
      </w:r>
      <w:r w:rsidR="00A23B53" w:rsidRPr="00DA1924">
        <w:rPr>
          <w:rFonts w:asciiTheme="minorHAnsi" w:hAnsiTheme="minorHAnsi" w:cstheme="minorHAnsi"/>
          <w:b/>
          <w:color w:val="06148C"/>
          <w:sz w:val="22"/>
          <w:szCs w:val="22"/>
        </w:rPr>
        <w:t>deux</w:t>
      </w: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 premiers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mois d’exécution qui constituent la </w:t>
      </w: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>période d’essai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ou pour les motifs suivants : </w:t>
      </w: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151CC2" w:rsidP="00A23B53">
      <w:pPr>
        <w:pStyle w:val="Corpsdetexte2"/>
        <w:numPr>
          <w:ilvl w:val="0"/>
          <w:numId w:val="1"/>
        </w:numPr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>à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l’initiative de l’apprenti lorsqu’il a obtenu le diplôme ou titre préparé</w:t>
      </w:r>
      <w:r w:rsidR="00A23B53" w:rsidRPr="00DA1924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151CC2" w:rsidRPr="00DA1924" w:rsidRDefault="00151CC2" w:rsidP="00151CC2">
      <w:pPr>
        <w:pStyle w:val="Corpsdetexte2"/>
        <w:numPr>
          <w:ilvl w:val="0"/>
          <w:numId w:val="1"/>
        </w:numPr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>par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accord exprès entre l’employeur et l’apprenti</w:t>
      </w:r>
      <w:r w:rsidR="00A23B53" w:rsidRPr="00DA1924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151CC2" w:rsidRPr="00DA1924" w:rsidRDefault="00151CC2" w:rsidP="00151CC2">
      <w:pPr>
        <w:pStyle w:val="Corpsdetexte2"/>
        <w:numPr>
          <w:ilvl w:val="0"/>
          <w:numId w:val="1"/>
        </w:numPr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>par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jugement du Conseil des Prud’hommes, en cas de faute grave ou de manquements répétés de l’employeur, ou de l’apprenti, </w:t>
      </w:r>
      <w:r w:rsidR="00A23B53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à ses obligations,</w:t>
      </w:r>
    </w:p>
    <w:p w:rsidR="00151CC2" w:rsidRPr="00DA1924" w:rsidRDefault="00151CC2" w:rsidP="00151CC2">
      <w:pPr>
        <w:pStyle w:val="Corpsdetexte2"/>
        <w:numPr>
          <w:ilvl w:val="0"/>
          <w:numId w:val="1"/>
        </w:numPr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>en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cas d’inaptitude de l’apprenti à exercer le métier choisi.  </w:t>
      </w: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</w:p>
    <w:p w:rsidR="00A23B53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L’apprenti est guidé tout au long du contrat par un </w:t>
      </w: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>maître d’apprentissage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référent auprès du CFA et travaillant en liaison avec ce centre. Cet agent de liaison, nommé avec son accord pa</w:t>
      </w:r>
      <w:r w:rsidR="00A23B53" w:rsidRPr="00DA1924">
        <w:rPr>
          <w:rFonts w:asciiTheme="minorHAnsi" w:hAnsiTheme="minorHAnsi" w:cstheme="minorHAnsi"/>
          <w:color w:val="06148C"/>
          <w:sz w:val="22"/>
          <w:szCs w:val="22"/>
        </w:rPr>
        <w:t>r la collectivité ou la commune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. </w:t>
      </w: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Il dispense la formation pratique à l’apprenti et lui confie des tâches en rapport avec le diplôme ou titre préparé.   </w:t>
      </w: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>L’apprenti est tenu de suivre les actions de formation théorique avec assiduité, de s’inscrire à l’examen, de participer aux épreuves, et de se conformer au règlement intérieur du CFA et de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DA1924">
        <w:rPr>
          <w:rFonts w:asciiTheme="minorHAnsi" w:hAnsiTheme="minorHAnsi" w:cstheme="minorHAnsi"/>
          <w:b/>
          <w:color w:val="06148C"/>
          <w:sz w:val="22"/>
          <w:szCs w:val="22"/>
        </w:rPr>
        <w:t>son employeur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.  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012B77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Article 5 : Rémunération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M</w:t>
      </w:r>
      <w:r w:rsidR="00A23B53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onsieur </w:t>
      </w:r>
      <w:r w:rsidR="00A23B53" w:rsidRPr="00DA1924">
        <w:rPr>
          <w:rFonts w:asciiTheme="minorHAnsi" w:hAnsiTheme="minorHAnsi" w:cstheme="minorHAnsi"/>
          <w:i/>
          <w:color w:val="06148C"/>
          <w:sz w:val="22"/>
          <w:szCs w:val="22"/>
        </w:rPr>
        <w:t>(ou Madame)</w:t>
      </w:r>
      <w:r w:rsidR="00A23B53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… 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percevra un salaire mensuel de X % du </w:t>
      </w:r>
      <w:r w:rsidR="00D9204F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SMIC soit un montant brut de … 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€.</w:t>
      </w:r>
    </w:p>
    <w:p w:rsidR="00A23B53" w:rsidRPr="00DA1924" w:rsidRDefault="00A23B53" w:rsidP="00151CC2">
      <w:pPr>
        <w:pStyle w:val="Corpsdetexte2"/>
        <w:rPr>
          <w:rFonts w:asciiTheme="minorHAnsi" w:hAnsiTheme="minorHAnsi" w:cstheme="minorHAnsi"/>
          <w:b/>
          <w:color w:val="06148C"/>
          <w:sz w:val="22"/>
          <w:szCs w:val="22"/>
        </w:rPr>
      </w:pPr>
    </w:p>
    <w:p w:rsidR="00A23B53" w:rsidRPr="00DA1924" w:rsidRDefault="00D9204F" w:rsidP="002972E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</w:pPr>
      <w:r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>(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 xml:space="preserve">Le salaire </w:t>
      </w:r>
      <w:r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 xml:space="preserve">est 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 xml:space="preserve">déterminé en pourcentage du </w:t>
      </w:r>
      <w:r w:rsidR="00A23B53" w:rsidRPr="00DA1924">
        <w:rPr>
          <w:rFonts w:asciiTheme="minorHAnsi" w:eastAsiaTheme="minorHAnsi" w:hAnsiTheme="minorHAnsi" w:cstheme="minorHAnsi"/>
          <w:bCs/>
          <w:i/>
          <w:color w:val="06148C"/>
          <w:sz w:val="22"/>
          <w:szCs w:val="22"/>
          <w:lang w:eastAsia="en-US"/>
        </w:rPr>
        <w:t>S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 xml:space="preserve">alaire </w:t>
      </w:r>
      <w:r w:rsidR="00A23B53" w:rsidRPr="00DA1924">
        <w:rPr>
          <w:rFonts w:asciiTheme="minorHAnsi" w:eastAsiaTheme="minorHAnsi" w:hAnsiTheme="minorHAnsi" w:cstheme="minorHAnsi"/>
          <w:bCs/>
          <w:i/>
          <w:color w:val="06148C"/>
          <w:sz w:val="22"/>
          <w:szCs w:val="22"/>
          <w:lang w:eastAsia="en-US"/>
        </w:rPr>
        <w:t>M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 xml:space="preserve">inimum </w:t>
      </w:r>
      <w:r w:rsidR="00A23B53" w:rsidRPr="00DA1924">
        <w:rPr>
          <w:rFonts w:asciiTheme="minorHAnsi" w:eastAsiaTheme="minorHAnsi" w:hAnsiTheme="minorHAnsi" w:cstheme="minorHAnsi"/>
          <w:bCs/>
          <w:i/>
          <w:color w:val="06148C"/>
          <w:sz w:val="22"/>
          <w:szCs w:val="22"/>
          <w:lang w:eastAsia="en-US"/>
        </w:rPr>
        <w:t>I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 xml:space="preserve">nterprofessionnel de </w:t>
      </w:r>
      <w:r w:rsidR="00A23B53" w:rsidRPr="00DA1924">
        <w:rPr>
          <w:rFonts w:asciiTheme="minorHAnsi" w:eastAsiaTheme="minorHAnsi" w:hAnsiTheme="minorHAnsi" w:cstheme="minorHAnsi"/>
          <w:bCs/>
          <w:i/>
          <w:color w:val="06148C"/>
          <w:sz w:val="22"/>
          <w:szCs w:val="22"/>
          <w:lang w:eastAsia="en-US"/>
        </w:rPr>
        <w:t>C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 xml:space="preserve">roissance, qui varie en fonction de </w:t>
      </w:r>
      <w:r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>l’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>âge, de l’ancienneté dans le contrat et du niveau de diplôme préparé</w:t>
      </w:r>
      <w:r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>)</w:t>
      </w:r>
      <w:r w:rsidR="00A23B53" w:rsidRPr="00DA1924"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  <w:t>.</w:t>
      </w:r>
    </w:p>
    <w:p w:rsidR="00A23B53" w:rsidRPr="00DA1924" w:rsidRDefault="00A23B53" w:rsidP="00A23B5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6148C"/>
          <w:sz w:val="22"/>
          <w:szCs w:val="22"/>
          <w:lang w:eastAsia="en-US"/>
        </w:rPr>
      </w:pPr>
    </w:p>
    <w:tbl>
      <w:tblPr>
        <w:tblW w:w="9313" w:type="dxa"/>
        <w:jc w:val="center"/>
        <w:tblCellSpacing w:w="20" w:type="dxa"/>
        <w:tblBorders>
          <w:top w:val="inset" w:sz="6" w:space="0" w:color="FFFFFF"/>
          <w:left w:val="inset" w:sz="6" w:space="0" w:color="FFFFFF"/>
          <w:bottom w:val="inset" w:sz="6" w:space="0" w:color="FFFFFF"/>
          <w:right w:val="inset" w:sz="6" w:space="0" w:color="FFFFFF"/>
          <w:insideH w:val="inset" w:sz="6" w:space="0" w:color="FFFFFF"/>
          <w:insideV w:val="inset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2769"/>
        <w:gridCol w:w="2769"/>
        <w:gridCol w:w="2244"/>
      </w:tblGrid>
      <w:tr w:rsidR="00240820" w:rsidRPr="007B292B" w:rsidTr="0067187E">
        <w:trPr>
          <w:trHeight w:val="248"/>
          <w:tblCellSpacing w:w="20" w:type="dxa"/>
          <w:jc w:val="center"/>
        </w:trPr>
        <w:tc>
          <w:tcPr>
            <w:tcW w:w="1471" w:type="dxa"/>
            <w:tcBorders>
              <w:top w:val="nil"/>
              <w:left w:val="nil"/>
              <w:right w:val="nil"/>
            </w:tcBorders>
            <w:vAlign w:val="center"/>
          </w:tcPr>
          <w:p w:rsidR="00240820" w:rsidRPr="007B292B" w:rsidRDefault="00240820" w:rsidP="0067187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2D68FF"/>
              </w:rPr>
            </w:pPr>
            <w:r w:rsidRPr="007B292B">
              <w:rPr>
                <w:rFonts w:ascii="Calibri" w:hAnsi="Calibri" w:cs="Calibri"/>
                <w:b/>
                <w:bCs/>
                <w:color w:val="2D68FF"/>
              </w:rPr>
              <w:t>Année du contrat</w:t>
            </w:r>
          </w:p>
        </w:tc>
      </w:tr>
      <w:tr w:rsidR="00240820" w:rsidRPr="007B292B" w:rsidTr="0067187E">
        <w:trPr>
          <w:trHeight w:val="124"/>
          <w:tblCellSpacing w:w="20" w:type="dxa"/>
          <w:jc w:val="center"/>
        </w:trPr>
        <w:tc>
          <w:tcPr>
            <w:tcW w:w="1471" w:type="dxa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2D68FF"/>
              </w:rPr>
            </w:pPr>
            <w:r w:rsidRPr="007B292B">
              <w:rPr>
                <w:rFonts w:ascii="Calibri" w:hAnsi="Calibri" w:cs="Calibri"/>
                <w:b/>
                <w:bCs/>
                <w:color w:val="2D68FF"/>
              </w:rPr>
              <w:t>Age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06148C"/>
              </w:rPr>
            </w:pPr>
            <w:r w:rsidRPr="007B292B">
              <w:rPr>
                <w:rFonts w:ascii="Calibri" w:hAnsi="Calibri" w:cs="Calibri"/>
                <w:b/>
                <w:bCs/>
                <w:color w:val="06148C"/>
              </w:rPr>
              <w:t>1</w:t>
            </w:r>
            <w:r w:rsidRPr="007B292B">
              <w:rPr>
                <w:rFonts w:ascii="Calibri" w:hAnsi="Calibri" w:cs="Calibri"/>
                <w:b/>
                <w:bCs/>
                <w:color w:val="06148C"/>
                <w:vertAlign w:val="superscript"/>
              </w:rPr>
              <w:t>ère</w:t>
            </w:r>
            <w:r w:rsidRPr="007B292B">
              <w:rPr>
                <w:rFonts w:ascii="Calibri" w:hAnsi="Calibri" w:cs="Calibri"/>
                <w:b/>
                <w:bCs/>
                <w:color w:val="06148C"/>
              </w:rPr>
              <w:t xml:space="preserve"> année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06148C"/>
              </w:rPr>
            </w:pPr>
            <w:r w:rsidRPr="007B292B">
              <w:rPr>
                <w:rFonts w:ascii="Calibri" w:hAnsi="Calibri" w:cs="Calibri"/>
                <w:b/>
                <w:bCs/>
                <w:color w:val="06148C"/>
              </w:rPr>
              <w:t>2</w:t>
            </w:r>
            <w:r w:rsidRPr="007B292B">
              <w:rPr>
                <w:rFonts w:ascii="Calibri" w:hAnsi="Calibri" w:cs="Calibri"/>
                <w:b/>
                <w:bCs/>
                <w:color w:val="06148C"/>
                <w:vertAlign w:val="superscript"/>
              </w:rPr>
              <w:t>ème</w:t>
            </w:r>
            <w:r w:rsidRPr="007B292B">
              <w:rPr>
                <w:rFonts w:ascii="Calibri" w:hAnsi="Calibri" w:cs="Calibri"/>
                <w:b/>
                <w:bCs/>
                <w:color w:val="06148C"/>
              </w:rPr>
              <w:t xml:space="preserve"> année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06148C"/>
              </w:rPr>
            </w:pPr>
            <w:r w:rsidRPr="007B292B">
              <w:rPr>
                <w:rFonts w:ascii="Calibri" w:hAnsi="Calibri" w:cs="Calibri"/>
                <w:b/>
                <w:bCs/>
                <w:color w:val="06148C"/>
              </w:rPr>
              <w:t>3</w:t>
            </w:r>
            <w:r w:rsidRPr="007B292B">
              <w:rPr>
                <w:rFonts w:ascii="Calibri" w:hAnsi="Calibri" w:cs="Calibri"/>
                <w:b/>
                <w:bCs/>
                <w:color w:val="06148C"/>
                <w:vertAlign w:val="superscript"/>
              </w:rPr>
              <w:t>ème</w:t>
            </w:r>
            <w:r w:rsidRPr="007B292B">
              <w:rPr>
                <w:rFonts w:ascii="Calibri" w:hAnsi="Calibri" w:cs="Calibri"/>
                <w:b/>
                <w:bCs/>
                <w:color w:val="06148C"/>
              </w:rPr>
              <w:t xml:space="preserve"> année</w:t>
            </w:r>
          </w:p>
        </w:tc>
      </w:tr>
      <w:tr w:rsidR="00240820" w:rsidRPr="007B292B" w:rsidTr="0067187E">
        <w:trPr>
          <w:trHeight w:val="304"/>
          <w:tblCellSpacing w:w="20" w:type="dxa"/>
          <w:jc w:val="center"/>
        </w:trPr>
        <w:tc>
          <w:tcPr>
            <w:tcW w:w="1471" w:type="dxa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2D68FF"/>
              </w:rPr>
            </w:pPr>
            <w:r w:rsidRPr="007B292B">
              <w:rPr>
                <w:rFonts w:ascii="Calibri" w:hAnsi="Calibri" w:cs="Calibri"/>
                <w:b/>
                <w:bCs/>
                <w:color w:val="2D68FF"/>
              </w:rPr>
              <w:t>15-17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27%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39%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55%</w:t>
            </w:r>
          </w:p>
        </w:tc>
      </w:tr>
      <w:tr w:rsidR="00240820" w:rsidRPr="007B292B" w:rsidTr="0067187E">
        <w:trPr>
          <w:trHeight w:val="304"/>
          <w:tblCellSpacing w:w="20" w:type="dxa"/>
          <w:jc w:val="center"/>
        </w:trPr>
        <w:tc>
          <w:tcPr>
            <w:tcW w:w="1471" w:type="dxa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2D68FF"/>
              </w:rPr>
            </w:pPr>
            <w:r w:rsidRPr="007B292B">
              <w:rPr>
                <w:rFonts w:ascii="Calibri" w:hAnsi="Calibri" w:cs="Calibri"/>
                <w:b/>
                <w:bCs/>
                <w:color w:val="2D68FF"/>
              </w:rPr>
              <w:t>18-20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43%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51%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67%</w:t>
            </w:r>
          </w:p>
        </w:tc>
      </w:tr>
      <w:tr w:rsidR="00240820" w:rsidRPr="007B292B" w:rsidTr="0067187E">
        <w:trPr>
          <w:trHeight w:val="304"/>
          <w:tblCellSpacing w:w="20" w:type="dxa"/>
          <w:jc w:val="center"/>
        </w:trPr>
        <w:tc>
          <w:tcPr>
            <w:tcW w:w="1471" w:type="dxa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2D68FF"/>
              </w:rPr>
            </w:pPr>
            <w:r w:rsidRPr="007B292B">
              <w:rPr>
                <w:rFonts w:ascii="Calibri" w:hAnsi="Calibri" w:cs="Calibri"/>
                <w:b/>
                <w:bCs/>
                <w:color w:val="2D68FF"/>
              </w:rPr>
              <w:t>21-25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53%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61%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78%</w:t>
            </w:r>
          </w:p>
        </w:tc>
      </w:tr>
      <w:tr w:rsidR="00240820" w:rsidRPr="007B292B" w:rsidTr="0067187E">
        <w:trPr>
          <w:trHeight w:val="304"/>
          <w:tblCellSpacing w:w="20" w:type="dxa"/>
          <w:jc w:val="center"/>
        </w:trPr>
        <w:tc>
          <w:tcPr>
            <w:tcW w:w="1471" w:type="dxa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color w:val="2D68FF"/>
              </w:rPr>
            </w:pPr>
            <w:r w:rsidRPr="007B292B">
              <w:rPr>
                <w:rFonts w:ascii="Calibri" w:hAnsi="Calibri" w:cs="Calibri"/>
                <w:b/>
                <w:bCs/>
                <w:color w:val="2D68FF"/>
              </w:rPr>
              <w:t>26 et +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240820" w:rsidRPr="007B292B" w:rsidRDefault="00240820" w:rsidP="006718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292B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</w:tr>
    </w:tbl>
    <w:p w:rsidR="00A23B53" w:rsidRPr="00DA1924" w:rsidRDefault="00A23B53" w:rsidP="00A23B5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6148C"/>
          <w:sz w:val="22"/>
          <w:szCs w:val="22"/>
          <w:lang w:eastAsia="en-US"/>
        </w:rPr>
      </w:pP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012B77" w:rsidP="00151CC2">
      <w:pPr>
        <w:pStyle w:val="Corpsdetexte2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Article 6 : Période d’essai</w:t>
      </w:r>
    </w:p>
    <w:p w:rsidR="00151CC2" w:rsidRPr="00DA1924" w:rsidRDefault="00151CC2" w:rsidP="00151CC2">
      <w:pPr>
        <w:pStyle w:val="Corpsdetexte2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Le présent contrat ne deviendra définitif </w:t>
      </w:r>
      <w:r w:rsidR="002972ED" w:rsidRPr="00DA1924">
        <w:rPr>
          <w:rFonts w:asciiTheme="minorHAnsi" w:hAnsiTheme="minorHAnsi" w:cstheme="minorHAnsi"/>
          <w:color w:val="06148C"/>
          <w:sz w:val="22"/>
          <w:szCs w:val="22"/>
        </w:rPr>
        <w:t>qu’à l’issue d’une période de deux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mois au cours de laquelle chacune des parties pourra rompre le contrat. Cette clause est sans objet lors d’un éventuel renouvellement du contrat.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8C0B3D" w:rsidRPr="00DA1924" w:rsidRDefault="008C0B3D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012B77" w:rsidRPr="00DA1924" w:rsidRDefault="00012B77" w:rsidP="00012B77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Article 7 : Fin du Contrat</w:t>
      </w:r>
    </w:p>
    <w:p w:rsidR="002972ED" w:rsidRPr="00DA1924" w:rsidRDefault="002972ED" w:rsidP="00012B77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Au-delà de la période d’essai, le contrat se poursuit jusqu’à son terme sauf dans les cas suivants :</w:t>
      </w:r>
    </w:p>
    <w:p w:rsidR="002972ED" w:rsidRPr="00DA1924" w:rsidRDefault="002972ED" w:rsidP="005202CC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>résiliation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du contrat d’apprentissage à la seule initiative de l’apprenti en cas d’obtention du diplôme ou du titre préparé. L’apprenti doit avoir informé l’employeur par écrit au minimum deux mois auparavant,</w:t>
      </w:r>
    </w:p>
    <w:p w:rsidR="002972ED" w:rsidRPr="00DA1924" w:rsidRDefault="002972ED" w:rsidP="005202CC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>résiliation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expresse des deux cosignataires,</w:t>
      </w:r>
    </w:p>
    <w:p w:rsidR="005202CC" w:rsidRPr="00DA1924" w:rsidRDefault="002972ED" w:rsidP="005202CC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A1924">
        <w:rPr>
          <w:rFonts w:asciiTheme="minorHAnsi" w:hAnsiTheme="minorHAnsi" w:cstheme="minorHAnsi"/>
          <w:color w:val="06148C"/>
          <w:sz w:val="22"/>
          <w:szCs w:val="22"/>
        </w:rPr>
        <w:t>jugement</w:t>
      </w:r>
      <w:proofErr w:type="gramEnd"/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du conseil de prud</w:t>
      </w:r>
      <w:r w:rsidR="005202CC" w:rsidRPr="00DA1924">
        <w:rPr>
          <w:rFonts w:asciiTheme="minorHAnsi" w:hAnsiTheme="minorHAnsi" w:cstheme="minorHAnsi"/>
          <w:color w:val="06148C"/>
          <w:sz w:val="22"/>
          <w:szCs w:val="22"/>
        </w:rPr>
        <w:t>’hommes en cas de faute grave,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de manquements répétés de l’une des parties à ses obligations,</w:t>
      </w:r>
      <w:r w:rsidR="005202CC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ou d’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inaptitude de l’apprenti à exercer le métier choisi</w:t>
      </w:r>
      <w:r w:rsidR="005202CC" w:rsidRPr="00DA1924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012B77" w:rsidRPr="00DA1924" w:rsidRDefault="00012B77" w:rsidP="005202CC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</w:rPr>
      </w:pPr>
    </w:p>
    <w:p w:rsidR="005202CC" w:rsidRPr="00DA1924" w:rsidRDefault="00012B77" w:rsidP="005202CC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Dans tous les cas, le contrat d’apprentissage prendra fin sans versement d’une indemnité de fin de contrat.</w:t>
      </w:r>
    </w:p>
    <w:p w:rsidR="00012B77" w:rsidRPr="00DA1924" w:rsidRDefault="00012B77" w:rsidP="00012B77">
      <w:pPr>
        <w:spacing w:after="60"/>
        <w:jc w:val="both"/>
        <w:rPr>
          <w:rFonts w:asciiTheme="minorHAnsi" w:hAnsiTheme="minorHAnsi" w:cstheme="minorHAnsi"/>
          <w:b/>
          <w:bCs/>
          <w:color w:val="06148C"/>
          <w:sz w:val="22"/>
          <w:szCs w:val="22"/>
          <w:u w:val="single"/>
        </w:rPr>
      </w:pPr>
    </w:p>
    <w:p w:rsidR="00012B77" w:rsidRPr="00DA1924" w:rsidRDefault="00012B77" w:rsidP="00012B77">
      <w:pPr>
        <w:spacing w:after="60"/>
        <w:jc w:val="both"/>
        <w:rPr>
          <w:rFonts w:asciiTheme="minorHAnsi" w:hAnsiTheme="minorHAnsi" w:cstheme="minorHAnsi"/>
          <w:iCs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bCs/>
          <w:color w:val="06148C"/>
          <w:sz w:val="22"/>
          <w:szCs w:val="22"/>
          <w:u w:val="single"/>
        </w:rPr>
        <w:t>Article 8 :</w:t>
      </w:r>
      <w:r w:rsidRPr="00DA1924">
        <w:rPr>
          <w:rFonts w:asciiTheme="minorHAnsi" w:hAnsiTheme="minorHAnsi" w:cstheme="minorHAnsi"/>
          <w:color w:val="06148C"/>
          <w:sz w:val="22"/>
          <w:szCs w:val="22"/>
          <w:u w:val="single"/>
        </w:rPr>
        <w:t xml:space="preserve"> </w:t>
      </w:r>
      <w:r w:rsidRPr="00DA1924">
        <w:rPr>
          <w:rFonts w:asciiTheme="minorHAnsi" w:hAnsiTheme="minorHAnsi" w:cstheme="minorHAnsi"/>
          <w:b/>
          <w:bCs/>
          <w:iCs/>
          <w:color w:val="06148C"/>
          <w:sz w:val="22"/>
          <w:szCs w:val="22"/>
          <w:u w:val="single"/>
        </w:rPr>
        <w:t>Congés annuels</w:t>
      </w:r>
    </w:p>
    <w:p w:rsidR="00012B77" w:rsidRPr="00DA1924" w:rsidRDefault="00012B77" w:rsidP="00012B77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Monsieur </w:t>
      </w:r>
      <w:r w:rsidRPr="00DA1924">
        <w:rPr>
          <w:rFonts w:asciiTheme="minorHAnsi" w:hAnsiTheme="minorHAnsi" w:cstheme="minorHAnsi"/>
          <w:i/>
          <w:color w:val="06148C"/>
          <w:sz w:val="22"/>
          <w:szCs w:val="22"/>
        </w:rPr>
        <w:t>(ou Madame)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… bénéficie en vertu des dispositions de l’article L 3141-3 du Code du travail d’un droit à congés payés dont la durée est déterminée à raison de deux jours et demi par mois de travail effectif, augmentée des jours exceptionnels éventuellement consentis aux autres agents employés par la commune ou la collectivité</w:t>
      </w:r>
    </w:p>
    <w:p w:rsidR="00012B77" w:rsidRPr="00DA1924" w:rsidRDefault="00012B77" w:rsidP="00012B77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012B77" w:rsidRPr="00DA1924" w:rsidRDefault="00012B77" w:rsidP="00012B77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L’indemnité compensatrice de congés payés ne faisant l’objet d’aucune prise en charge par l’Etat, la totalité des droits à congés du salarié devra être réalisée pendant la durée du présent contrat.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012B77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DA192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Article 8 : Litiges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151CC2" w:rsidRPr="00DA1924" w:rsidRDefault="00151CC2" w:rsidP="00151CC2">
      <w:pPr>
        <w:pStyle w:val="Corpsdetext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Les litiges relatifs à l’exécution du prés</w:t>
      </w:r>
      <w:r w:rsidR="00012B77" w:rsidRPr="00DA1924">
        <w:rPr>
          <w:rFonts w:asciiTheme="minorHAnsi" w:hAnsiTheme="minorHAnsi" w:cstheme="minorHAnsi"/>
          <w:color w:val="06148C"/>
          <w:sz w:val="22"/>
          <w:szCs w:val="22"/>
        </w:rPr>
        <w:t>ent contrat de droit privé sont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de la compétence du Conseil des Prud’hommes.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C101A" w:rsidRPr="00DA1924" w:rsidRDefault="00012B77" w:rsidP="00DC101A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Theme="minorHAnsi" w:hAnsiTheme="minorHAnsi" w:cstheme="minorHAnsi"/>
          <w:color w:val="06148C"/>
          <w:szCs w:val="22"/>
        </w:rPr>
      </w:pPr>
      <w:r w:rsidRPr="00DA1924">
        <w:rPr>
          <w:rFonts w:asciiTheme="minorHAnsi" w:hAnsiTheme="minorHAnsi" w:cstheme="minorHAnsi"/>
          <w:color w:val="06148C"/>
          <w:szCs w:val="22"/>
        </w:rPr>
        <w:tab/>
        <w:t>Fait à …,</w:t>
      </w:r>
    </w:p>
    <w:p w:rsidR="00012B77" w:rsidRPr="00DA1924" w:rsidRDefault="00DC101A" w:rsidP="00DC101A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Theme="minorHAnsi" w:hAnsiTheme="minorHAnsi" w:cstheme="minorHAnsi"/>
          <w:color w:val="06148C"/>
          <w:szCs w:val="22"/>
        </w:rPr>
      </w:pPr>
      <w:r w:rsidRPr="00DA1924">
        <w:rPr>
          <w:rFonts w:asciiTheme="minorHAnsi" w:hAnsiTheme="minorHAnsi" w:cstheme="minorHAnsi"/>
          <w:color w:val="06148C"/>
          <w:szCs w:val="22"/>
        </w:rPr>
        <w:tab/>
      </w:r>
      <w:proofErr w:type="gramStart"/>
      <w:r w:rsidR="00012B77" w:rsidRPr="00DA1924">
        <w:rPr>
          <w:rFonts w:asciiTheme="minorHAnsi" w:hAnsiTheme="minorHAnsi" w:cstheme="minorHAnsi"/>
          <w:color w:val="06148C"/>
          <w:szCs w:val="22"/>
        </w:rPr>
        <w:t>le</w:t>
      </w:r>
      <w:proofErr w:type="gramEnd"/>
      <w:r w:rsidR="00012B77" w:rsidRPr="00DA1924">
        <w:rPr>
          <w:rFonts w:asciiTheme="minorHAnsi" w:hAnsiTheme="minorHAnsi" w:cstheme="minorHAnsi"/>
          <w:color w:val="06148C"/>
          <w:szCs w:val="22"/>
        </w:rPr>
        <w:t xml:space="preserve"> …</w:t>
      </w:r>
    </w:p>
    <w:p w:rsidR="00012B77" w:rsidRPr="00DA1924" w:rsidRDefault="00012B77" w:rsidP="00012B77">
      <w:pPr>
        <w:pStyle w:val="TEXTE"/>
        <w:tabs>
          <w:tab w:val="left" w:pos="851"/>
        </w:tabs>
        <w:ind w:left="0"/>
        <w:rPr>
          <w:rFonts w:asciiTheme="minorHAnsi" w:hAnsiTheme="minorHAnsi" w:cstheme="minorHAnsi"/>
          <w:b/>
          <w:bCs/>
          <w:color w:val="06148C"/>
          <w:szCs w:val="22"/>
        </w:rPr>
      </w:pPr>
      <w:r w:rsidRPr="00DA1924">
        <w:rPr>
          <w:rFonts w:asciiTheme="minorHAnsi" w:hAnsiTheme="minorHAnsi" w:cstheme="minorHAnsi"/>
          <w:bCs/>
          <w:color w:val="06148C"/>
          <w:szCs w:val="22"/>
        </w:rPr>
        <w:tab/>
      </w:r>
      <w:r w:rsidRPr="00DA1924">
        <w:rPr>
          <w:rFonts w:asciiTheme="minorHAnsi" w:hAnsiTheme="minorHAnsi" w:cstheme="minorHAnsi"/>
          <w:b/>
          <w:bCs/>
          <w:color w:val="06148C"/>
          <w:szCs w:val="22"/>
          <w:u w:val="single"/>
        </w:rPr>
        <w:t>L’intéressé(e)</w:t>
      </w:r>
      <w:r w:rsidRPr="00DA1924">
        <w:rPr>
          <w:rFonts w:asciiTheme="minorHAnsi" w:hAnsiTheme="minorHAnsi" w:cstheme="minorHAnsi"/>
          <w:b/>
          <w:bCs/>
          <w:color w:val="06148C"/>
          <w:szCs w:val="22"/>
        </w:rPr>
        <w:tab/>
      </w:r>
      <w:r w:rsidRPr="00DA1924">
        <w:rPr>
          <w:rFonts w:asciiTheme="minorHAnsi" w:hAnsiTheme="minorHAnsi" w:cstheme="minorHAnsi"/>
          <w:b/>
          <w:bCs/>
          <w:color w:val="06148C"/>
          <w:szCs w:val="22"/>
        </w:rPr>
        <w:tab/>
      </w:r>
      <w:r w:rsidRPr="00DA1924">
        <w:rPr>
          <w:rFonts w:asciiTheme="minorHAnsi" w:hAnsiTheme="minorHAnsi" w:cstheme="minorHAnsi"/>
          <w:b/>
          <w:bCs/>
          <w:color w:val="06148C"/>
          <w:szCs w:val="22"/>
        </w:rPr>
        <w:tab/>
      </w:r>
      <w:r w:rsidRPr="00DA1924">
        <w:rPr>
          <w:rFonts w:asciiTheme="minorHAnsi" w:hAnsiTheme="minorHAnsi" w:cstheme="minorHAnsi"/>
          <w:b/>
          <w:bCs/>
          <w:color w:val="06148C"/>
          <w:szCs w:val="22"/>
        </w:rPr>
        <w:tab/>
      </w:r>
      <w:r w:rsidRPr="00DA1924">
        <w:rPr>
          <w:rFonts w:asciiTheme="minorHAnsi" w:hAnsiTheme="minorHAnsi" w:cstheme="minorHAnsi"/>
          <w:b/>
          <w:bCs/>
          <w:color w:val="06148C"/>
          <w:szCs w:val="22"/>
        </w:rPr>
        <w:tab/>
      </w:r>
      <w:r w:rsidRPr="00DA1924">
        <w:rPr>
          <w:rFonts w:asciiTheme="minorHAnsi" w:hAnsiTheme="minorHAnsi" w:cstheme="minorHAnsi"/>
          <w:b/>
          <w:bCs/>
          <w:color w:val="06148C"/>
          <w:szCs w:val="22"/>
          <w:u w:val="single"/>
        </w:rPr>
        <w:t>le Maire (</w:t>
      </w:r>
      <w:r w:rsidRPr="00DA1924">
        <w:rPr>
          <w:rFonts w:asciiTheme="minorHAnsi" w:hAnsiTheme="minorHAnsi" w:cstheme="minorHAnsi"/>
          <w:b/>
          <w:bCs/>
          <w:i/>
          <w:color w:val="06148C"/>
          <w:szCs w:val="22"/>
          <w:u w:val="single"/>
        </w:rPr>
        <w:t>ou le Président</w:t>
      </w:r>
      <w:r w:rsidRPr="00DA1924">
        <w:rPr>
          <w:rFonts w:asciiTheme="minorHAnsi" w:hAnsiTheme="minorHAnsi" w:cstheme="minorHAnsi"/>
          <w:b/>
          <w:bCs/>
          <w:color w:val="06148C"/>
          <w:szCs w:val="22"/>
          <w:u w:val="single"/>
        </w:rPr>
        <w:t>)</w:t>
      </w:r>
    </w:p>
    <w:p w:rsidR="00151CC2" w:rsidRPr="00DA1924" w:rsidRDefault="00151CC2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C101A" w:rsidRPr="00DA1924" w:rsidRDefault="00DC101A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C101A" w:rsidRPr="00DA1924" w:rsidRDefault="00DC101A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C101A" w:rsidRPr="00DA1924" w:rsidRDefault="00DC101A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C101A" w:rsidRPr="00DA1924" w:rsidRDefault="00DC101A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C101A" w:rsidRPr="00DA1924" w:rsidRDefault="00DC101A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C101A" w:rsidRPr="00DA1924" w:rsidRDefault="00DC101A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151CC2" w:rsidRPr="00DA1924" w:rsidRDefault="00012B77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En </w:t>
      </w:r>
      <w:r w:rsidR="00151CC2" w:rsidRPr="00DA1924">
        <w:rPr>
          <w:rFonts w:asciiTheme="minorHAnsi" w:hAnsiTheme="minorHAnsi" w:cstheme="minorHAnsi"/>
          <w:color w:val="06148C"/>
          <w:sz w:val="22"/>
          <w:szCs w:val="22"/>
        </w:rPr>
        <w:t>5 exemplaires,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dont </w:t>
      </w:r>
      <w:r w:rsidR="00151CC2" w:rsidRPr="00DA1924">
        <w:rPr>
          <w:rFonts w:asciiTheme="minorHAnsi" w:hAnsiTheme="minorHAnsi" w:cstheme="minorHAnsi"/>
          <w:color w:val="06148C"/>
          <w:sz w:val="22"/>
          <w:szCs w:val="22"/>
        </w:rPr>
        <w:t>un pour l’apprenti, un pour l’employeur, un à adresser dès sa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conclusion à la D</w:t>
      </w:r>
      <w:r w:rsidR="005B2DE8" w:rsidRPr="00DA1924">
        <w:rPr>
          <w:rFonts w:asciiTheme="minorHAnsi" w:hAnsiTheme="minorHAnsi" w:cstheme="minorHAnsi"/>
          <w:color w:val="06148C"/>
          <w:sz w:val="22"/>
          <w:szCs w:val="22"/>
        </w:rPr>
        <w:t>IRECCTE de l’Oise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avec la</w:t>
      </w:r>
      <w:r w:rsidR="00151CC2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fiche d’aptitude médicale</w:t>
      </w:r>
      <w:r w:rsidR="00151CC2" w:rsidRPr="00DA1924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, </w:t>
      </w:r>
      <w:r w:rsidR="00151CC2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un au CFA, un au </w:t>
      </w:r>
      <w:r w:rsidR="00222403" w:rsidRPr="00DA1924">
        <w:rPr>
          <w:rFonts w:asciiTheme="minorHAnsi" w:hAnsiTheme="minorHAnsi" w:cstheme="minorHAnsi"/>
          <w:color w:val="06148C"/>
          <w:sz w:val="22"/>
          <w:szCs w:val="22"/>
        </w:rPr>
        <w:t>Comptable</w:t>
      </w:r>
      <w:r w:rsidR="00151CC2" w:rsidRPr="00DA1924">
        <w:rPr>
          <w:rFonts w:asciiTheme="minorHAnsi" w:hAnsiTheme="minorHAnsi" w:cstheme="minorHAnsi"/>
          <w:color w:val="06148C"/>
          <w:sz w:val="22"/>
          <w:szCs w:val="22"/>
        </w:rPr>
        <w:t xml:space="preserve"> de la collectivité.</w:t>
      </w:r>
    </w:p>
    <w:p w:rsidR="005F6250" w:rsidRPr="00DA1924" w:rsidRDefault="005F6250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D6030E" w:rsidRPr="00DA1924" w:rsidRDefault="00D6030E" w:rsidP="00D6030E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  <w:u w:val="single"/>
        </w:rPr>
        <w:t xml:space="preserve">Ampliation adressée au </w:t>
      </w:r>
      <w:r w:rsidRPr="00DA1924">
        <w:rPr>
          <w:rFonts w:asciiTheme="minorHAnsi" w:hAnsiTheme="minorHAnsi" w:cstheme="minorHAnsi"/>
          <w:color w:val="06148C"/>
          <w:sz w:val="22"/>
          <w:szCs w:val="22"/>
        </w:rPr>
        <w:t>:</w:t>
      </w:r>
    </w:p>
    <w:p w:rsidR="00D6030E" w:rsidRPr="00DA1924" w:rsidRDefault="00D6030E" w:rsidP="00D6030E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- Président du Centre de Gestion,</w:t>
      </w:r>
    </w:p>
    <w:p w:rsidR="00D6030E" w:rsidRPr="00DA1924" w:rsidRDefault="00D6030E" w:rsidP="00D6030E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color w:val="06148C"/>
          <w:sz w:val="22"/>
          <w:szCs w:val="22"/>
        </w:rPr>
        <w:t>- Comptable de la collectivité.</w:t>
      </w:r>
    </w:p>
    <w:p w:rsidR="00D6030E" w:rsidRPr="00DA1924" w:rsidRDefault="00DA1924" w:rsidP="00151CC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A1924">
        <w:rPr>
          <w:rFonts w:asciiTheme="minorHAnsi" w:hAnsiTheme="minorHAnsi" w:cstheme="minorHAnsi"/>
          <w:noProof/>
          <w:color w:val="06148C"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5102225</wp:posOffset>
            </wp:positionH>
            <wp:positionV relativeFrom="paragraph">
              <wp:posOffset>9902190</wp:posOffset>
            </wp:positionV>
            <wp:extent cx="1743710" cy="506095"/>
            <wp:effectExtent l="0" t="0" r="889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30E" w:rsidRPr="00DA1924" w:rsidSect="00DA1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4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D5" w:rsidRDefault="00A321D5" w:rsidP="00151CC2">
      <w:r>
        <w:separator/>
      </w:r>
    </w:p>
  </w:endnote>
  <w:endnote w:type="continuationSeparator" w:id="0">
    <w:p w:rsidR="00A321D5" w:rsidRDefault="00A321D5" w:rsidP="001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B77" w:rsidRDefault="00A91461" w:rsidP="007D35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12B7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12B77" w:rsidRDefault="00012B77" w:rsidP="007D35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DA1924" w:rsidRPr="00882918" w:rsidTr="00C414FC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A1924" w:rsidRPr="00882918" w:rsidRDefault="00DA1924" w:rsidP="00DA1924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contrat apprentissage </w:t>
          </w:r>
        </w:p>
      </w:tc>
      <w:tc>
        <w:tcPr>
          <w:tcW w:w="1542" w:type="pct"/>
          <w:shd w:val="clear" w:color="auto" w:fill="06148C"/>
          <w:vAlign w:val="center"/>
        </w:tcPr>
        <w:p w:rsidR="00DA1924" w:rsidRPr="00882918" w:rsidRDefault="00240820" w:rsidP="00DA1924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10</w:t>
          </w:r>
          <w:r w:rsidR="00DA192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04</w:t>
          </w:r>
          <w:r w:rsidR="00DA192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012B77" w:rsidRDefault="00DA1924" w:rsidP="002622A2">
    <w:pPr>
      <w:pStyle w:val="Pieddepage"/>
      <w:ind w:right="360"/>
      <w:jc w:val="cent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60EFC8">
          <wp:simplePos x="0" y="0"/>
          <wp:positionH relativeFrom="margin">
            <wp:posOffset>4893310</wp:posOffset>
          </wp:positionH>
          <wp:positionV relativeFrom="paragraph">
            <wp:posOffset>-316230</wp:posOffset>
          </wp:positionV>
          <wp:extent cx="1752600" cy="514350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9902190</wp:posOffset>
          </wp:positionV>
          <wp:extent cx="1743710" cy="506095"/>
          <wp:effectExtent l="0" t="0" r="8890" b="825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9902190</wp:posOffset>
          </wp:positionV>
          <wp:extent cx="1743710" cy="506095"/>
          <wp:effectExtent l="0" t="0" r="8890" b="825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DA1924" w:rsidRPr="00882918" w:rsidTr="00C414FC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A1924" w:rsidRPr="00882918" w:rsidRDefault="00DA1924" w:rsidP="00DA1924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1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contrat apprentissage </w:t>
          </w:r>
        </w:p>
      </w:tc>
      <w:tc>
        <w:tcPr>
          <w:tcW w:w="1542" w:type="pct"/>
          <w:shd w:val="clear" w:color="auto" w:fill="06148C"/>
          <w:vAlign w:val="center"/>
        </w:tcPr>
        <w:p w:rsidR="00DA1924" w:rsidRPr="00882918" w:rsidRDefault="00240820" w:rsidP="00DA1924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10</w:t>
          </w:r>
          <w:r w:rsidR="00DA192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04</w:t>
          </w:r>
          <w:r w:rsidR="00DA192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1"/>
  </w:tbl>
  <w:p w:rsidR="007D7C5E" w:rsidRDefault="007D7C5E" w:rsidP="007D7C5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D5" w:rsidRDefault="00A321D5" w:rsidP="00151CC2">
      <w:r>
        <w:separator/>
      </w:r>
    </w:p>
  </w:footnote>
  <w:footnote w:type="continuationSeparator" w:id="0">
    <w:p w:rsidR="00A321D5" w:rsidRDefault="00A321D5" w:rsidP="0015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20" w:rsidRDefault="002408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20" w:rsidRDefault="002408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24" w:rsidRDefault="00DA1924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-447040</wp:posOffset>
          </wp:positionV>
          <wp:extent cx="7557135" cy="10689590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273"/>
    <w:multiLevelType w:val="hybridMultilevel"/>
    <w:tmpl w:val="255CB0B0"/>
    <w:lvl w:ilvl="0" w:tplc="E8C092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E4139D"/>
    <w:multiLevelType w:val="multilevel"/>
    <w:tmpl w:val="6860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E3C11"/>
    <w:multiLevelType w:val="hybridMultilevel"/>
    <w:tmpl w:val="0ED41C92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76C1"/>
    <w:multiLevelType w:val="multilevel"/>
    <w:tmpl w:val="4D9C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85CC3"/>
    <w:multiLevelType w:val="multilevel"/>
    <w:tmpl w:val="CEB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40894"/>
    <w:multiLevelType w:val="hybridMultilevel"/>
    <w:tmpl w:val="AD922D56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F7F83"/>
    <w:multiLevelType w:val="multilevel"/>
    <w:tmpl w:val="13D0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54A7B"/>
    <w:multiLevelType w:val="multilevel"/>
    <w:tmpl w:val="114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F18"/>
    <w:multiLevelType w:val="multilevel"/>
    <w:tmpl w:val="DD7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155CE"/>
    <w:multiLevelType w:val="hybridMultilevel"/>
    <w:tmpl w:val="2FB6B5CC"/>
    <w:lvl w:ilvl="0" w:tplc="85768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51715A"/>
    <w:multiLevelType w:val="hybridMultilevel"/>
    <w:tmpl w:val="B4D86E7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392E"/>
    <w:multiLevelType w:val="multilevel"/>
    <w:tmpl w:val="AD0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AB076B"/>
    <w:multiLevelType w:val="multilevel"/>
    <w:tmpl w:val="6DE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66091"/>
    <w:multiLevelType w:val="hybridMultilevel"/>
    <w:tmpl w:val="B54CD13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C2"/>
    <w:rsid w:val="00012B77"/>
    <w:rsid w:val="00016B04"/>
    <w:rsid w:val="00094D4F"/>
    <w:rsid w:val="00151CC2"/>
    <w:rsid w:val="001C149E"/>
    <w:rsid w:val="00222403"/>
    <w:rsid w:val="00240820"/>
    <w:rsid w:val="002622A2"/>
    <w:rsid w:val="00274A61"/>
    <w:rsid w:val="002972ED"/>
    <w:rsid w:val="002F2796"/>
    <w:rsid w:val="0034689A"/>
    <w:rsid w:val="003874D4"/>
    <w:rsid w:val="003A3F4E"/>
    <w:rsid w:val="00470AEB"/>
    <w:rsid w:val="005202CC"/>
    <w:rsid w:val="005B2CDA"/>
    <w:rsid w:val="005B2DE8"/>
    <w:rsid w:val="005F6250"/>
    <w:rsid w:val="006334F1"/>
    <w:rsid w:val="006768D9"/>
    <w:rsid w:val="00740746"/>
    <w:rsid w:val="00790E68"/>
    <w:rsid w:val="007D35CE"/>
    <w:rsid w:val="007D7C5E"/>
    <w:rsid w:val="0084562D"/>
    <w:rsid w:val="008C0B3D"/>
    <w:rsid w:val="00997237"/>
    <w:rsid w:val="00A17100"/>
    <w:rsid w:val="00A23B53"/>
    <w:rsid w:val="00A321D5"/>
    <w:rsid w:val="00A56B47"/>
    <w:rsid w:val="00A91461"/>
    <w:rsid w:val="00B13FF5"/>
    <w:rsid w:val="00B746D0"/>
    <w:rsid w:val="00B812B7"/>
    <w:rsid w:val="00BE00C3"/>
    <w:rsid w:val="00C4645A"/>
    <w:rsid w:val="00C90D3E"/>
    <w:rsid w:val="00CD5863"/>
    <w:rsid w:val="00D02DF8"/>
    <w:rsid w:val="00D47BAF"/>
    <w:rsid w:val="00D6030E"/>
    <w:rsid w:val="00D9204F"/>
    <w:rsid w:val="00DA1924"/>
    <w:rsid w:val="00DC101A"/>
    <w:rsid w:val="00E34246"/>
    <w:rsid w:val="00E41482"/>
    <w:rsid w:val="00EB77CD"/>
    <w:rsid w:val="00FA0FAA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59914F-B98D-4842-BA03-C0C8A0A5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51CC2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151CC2"/>
    <w:pPr>
      <w:keepNext/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51CC2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151CC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151CC2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151CC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51CC2"/>
    <w:pPr>
      <w:jc w:val="both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151CC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151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CC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151CC2"/>
  </w:style>
  <w:style w:type="paragraph" w:styleId="En-tte">
    <w:name w:val="header"/>
    <w:basedOn w:val="Normal"/>
    <w:link w:val="En-tteCar"/>
    <w:uiPriority w:val="99"/>
    <w:unhideWhenUsed/>
    <w:rsid w:val="00151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1CC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151CC2"/>
    <w:rPr>
      <w:b/>
      <w:bCs/>
    </w:rPr>
  </w:style>
  <w:style w:type="table" w:styleId="Grilledutableau">
    <w:name w:val="Table Grid"/>
    <w:basedOn w:val="TableauNormal"/>
    <w:uiPriority w:val="59"/>
    <w:rsid w:val="00A2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2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2ED"/>
    <w:pPr>
      <w:spacing w:before="100" w:beforeAutospacing="1" w:after="100" w:afterAutospacing="1"/>
    </w:pPr>
    <w:rPr>
      <w:sz w:val="24"/>
      <w:szCs w:val="24"/>
    </w:rPr>
  </w:style>
  <w:style w:type="paragraph" w:customStyle="1" w:styleId="TEXTE">
    <w:name w:val="TEXTE"/>
    <w:basedOn w:val="Normal"/>
    <w:rsid w:val="00012B77"/>
    <w:pPr>
      <w:spacing w:before="200" w:after="100"/>
      <w:ind w:left="426"/>
      <w:jc w:val="both"/>
    </w:pPr>
    <w:rPr>
      <w:sz w:val="22"/>
    </w:rPr>
  </w:style>
  <w:style w:type="paragraph" w:customStyle="1" w:styleId="notifi">
    <w:name w:val="notifié à"/>
    <w:basedOn w:val="Normal"/>
    <w:rsid w:val="00D6030E"/>
    <w:pPr>
      <w:autoSpaceDE w:val="0"/>
      <w:autoSpaceDN w:val="0"/>
      <w:ind w:left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681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6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 32</dc:creator>
  <cp:lastModifiedBy>Margaux DOREZ</cp:lastModifiedBy>
  <cp:revision>3</cp:revision>
  <dcterms:created xsi:type="dcterms:W3CDTF">2024-05-29T14:08:00Z</dcterms:created>
  <dcterms:modified xsi:type="dcterms:W3CDTF">2024-05-29T14:20:00Z</dcterms:modified>
</cp:coreProperties>
</file>