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4B" w:rsidRPr="00213B46" w:rsidRDefault="00D23495" w:rsidP="00DE186E">
      <w:pPr>
        <w:ind w:left="3540"/>
        <w:jc w:val="center"/>
        <w:rPr>
          <w:rFonts w:asciiTheme="minorHAnsi" w:hAnsiTheme="minorHAnsi" w:cstheme="minorHAnsi"/>
          <w:b/>
          <w:color w:val="06148C"/>
          <w:sz w:val="28"/>
        </w:rPr>
      </w:pPr>
      <w:r>
        <w:rPr>
          <w:rFonts w:asciiTheme="minorHAnsi" w:hAnsiTheme="minorHAnsi" w:cstheme="minorHAnsi"/>
          <w:b/>
          <w:color w:val="06148C"/>
          <w:sz w:val="28"/>
        </w:rPr>
        <w:t xml:space="preserve">         </w:t>
      </w:r>
      <w:r w:rsidR="0053704B" w:rsidRPr="00213B46">
        <w:rPr>
          <w:rFonts w:asciiTheme="minorHAnsi" w:hAnsiTheme="minorHAnsi" w:cstheme="minorHAnsi"/>
          <w:b/>
          <w:color w:val="06148C"/>
          <w:sz w:val="28"/>
        </w:rPr>
        <w:t>ARRETE PORTANT ATTRIBUTION DE LA NBI</w:t>
      </w:r>
    </w:p>
    <w:p w:rsidR="00D23495" w:rsidRPr="00AC40A0" w:rsidRDefault="00D23495" w:rsidP="00EF47D1">
      <w:pPr>
        <w:ind w:left="4248" w:firstLine="708"/>
        <w:rPr>
          <w:rFonts w:ascii="Calibri" w:hAnsi="Calibri" w:cs="Calibri"/>
          <w:b/>
          <w:color w:val="06148C"/>
          <w:sz w:val="28"/>
          <w:szCs w:val="28"/>
        </w:rPr>
      </w:pPr>
      <w:r w:rsidRPr="00AC40A0">
        <w:rPr>
          <w:rFonts w:ascii="Calibri" w:hAnsi="Calibri" w:cs="Calibri"/>
          <w:b/>
          <w:color w:val="06148C"/>
          <w:sz w:val="28"/>
          <w:szCs w:val="28"/>
        </w:rPr>
        <w:t xml:space="preserve">M </w:t>
      </w:r>
      <w:r w:rsidR="00EF47D1">
        <w:rPr>
          <w:rFonts w:ascii="Calibri" w:hAnsi="Calibri" w:cs="Calibri"/>
          <w:b/>
          <w:color w:val="06148C"/>
          <w:sz w:val="28"/>
          <w:szCs w:val="28"/>
        </w:rPr>
        <w:t>…</w:t>
      </w:r>
      <w:r w:rsidRPr="00AC40A0">
        <w:rPr>
          <w:rFonts w:ascii="Calibri" w:hAnsi="Calibri" w:cs="Calibri"/>
          <w:b/>
          <w:color w:val="06148C"/>
          <w:sz w:val="28"/>
          <w:szCs w:val="28"/>
        </w:rPr>
        <w:t>.......................................................…</w:t>
      </w:r>
    </w:p>
    <w:p w:rsidR="00D23495" w:rsidRPr="00AC40A0" w:rsidRDefault="00D23495" w:rsidP="00D23495">
      <w:pPr>
        <w:ind w:left="4248"/>
        <w:jc w:val="center"/>
        <w:rPr>
          <w:rFonts w:ascii="Calibri" w:hAnsi="Calibri" w:cs="Calibri"/>
          <w:b/>
          <w:color w:val="06148C"/>
          <w:sz w:val="28"/>
          <w:szCs w:val="28"/>
        </w:rPr>
      </w:pPr>
      <w:r w:rsidRPr="00AC40A0">
        <w:rPr>
          <w:rFonts w:ascii="Calibri" w:hAnsi="Calibri" w:cs="Calibri"/>
          <w:b/>
          <w:color w:val="06148C"/>
          <w:sz w:val="28"/>
          <w:szCs w:val="28"/>
        </w:rPr>
        <w:t>GRADE .....................................................…</w:t>
      </w:r>
    </w:p>
    <w:p w:rsidR="0053704B" w:rsidRPr="00DE186E" w:rsidRDefault="0053704B" w:rsidP="00DE186E">
      <w:pPr>
        <w:jc w:val="center"/>
        <w:rPr>
          <w:rFonts w:asciiTheme="minorHAnsi" w:hAnsiTheme="minorHAnsi" w:cstheme="minorHAnsi"/>
          <w:color w:val="06148C"/>
        </w:rPr>
      </w:pPr>
    </w:p>
    <w:p w:rsidR="0053704B" w:rsidRPr="00DE186E" w:rsidRDefault="0053704B" w:rsidP="00DE186E">
      <w:pPr>
        <w:jc w:val="center"/>
        <w:rPr>
          <w:rFonts w:asciiTheme="minorHAnsi" w:hAnsiTheme="minorHAnsi" w:cstheme="minorHAnsi"/>
          <w:color w:val="06148C"/>
        </w:rPr>
      </w:pPr>
    </w:p>
    <w:p w:rsidR="007B45F9" w:rsidRDefault="007B45F9" w:rsidP="00776618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7B45F9" w:rsidRDefault="007B45F9" w:rsidP="00776618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7B45F9" w:rsidRDefault="007B45F9" w:rsidP="00776618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776618" w:rsidRPr="00DE186E" w:rsidRDefault="00776618" w:rsidP="00F7549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Le Maire (ou le Président) de ………,</w:t>
      </w:r>
    </w:p>
    <w:p w:rsidR="00776618" w:rsidRPr="00DE186E" w:rsidRDefault="00776618" w:rsidP="00F7549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Code général des collectivités territoriales, </w:t>
      </w:r>
    </w:p>
    <w:p w:rsidR="003A17BD" w:rsidRPr="00DE186E" w:rsidRDefault="00776618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r w:rsidR="003A17BD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3A17BD" w:rsidRPr="00DE186E" w:rsidRDefault="003A17BD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la loi n° 91-73 du 18 janvier 1991 portant dispositions relatives à la santé publique et aux assurances sociales</w:t>
      </w:r>
      <w:r w:rsidR="00C334AB" w:rsidRPr="00DE186E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décret n° 93-863 du 18 juin 1993 relatif aux conditions de mise en œuvre de la nouvelle bonification indiciaire dans la fonction publique territoriale,</w:t>
      </w:r>
    </w:p>
    <w:p w:rsidR="0053704B" w:rsidRPr="00DE186E" w:rsidRDefault="0069602C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décret n° 2001-1274 du 27 décembre 2001 portant attribution d'une nouvelle bonification indiciaire aux fonctionnaires occupant certains emplois administratifs de direction de collectivités territoriales ou d'établissements publics locaux assimilés, régis par l'article 6 du décret n° 87-1101 du 30 décembre 1987 (</w:t>
      </w: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>emplois administratifs de direction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),</w:t>
      </w: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53704B" w:rsidRPr="00DE186E" w:rsidRDefault="00B52B69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décret n° 2001-1274 du 27 décembre 2001</w:t>
      </w:r>
      <w:r w:rsidR="0053704B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du 28 décembre 2001 portant attribution d'une nouvelle bonification indiciaire aux fonctionnaires occupant certains emplois administratifs de direction de collectivités territoriales ou d'établissements publics locaux assimilés, régis par l'article 7 du décret n° 87-1101 du 30 décembre 1987 (</w:t>
      </w:r>
      <w:r w:rsidR="0053704B" w:rsidRPr="00DE186E">
        <w:rPr>
          <w:rFonts w:asciiTheme="minorHAnsi" w:hAnsiTheme="minorHAnsi" w:cstheme="minorHAnsi"/>
          <w:i/>
          <w:color w:val="06148C"/>
          <w:sz w:val="22"/>
          <w:szCs w:val="22"/>
        </w:rPr>
        <w:t>emplois administratifs de direction)</w:t>
      </w:r>
      <w:r w:rsidR="0053704B" w:rsidRPr="00DE186E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55411" w:rsidRPr="00DE186E" w:rsidRDefault="003A17BD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755411" w:rsidRPr="00DE186E" w:rsidRDefault="00755411" w:rsidP="00F75497">
      <w:pPr>
        <w:pStyle w:val="Sansinterligne"/>
        <w:jc w:val="both"/>
        <w:rPr>
          <w:rStyle w:val="lev"/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Style w:val="lev"/>
          <w:rFonts w:asciiTheme="minorHAnsi" w:hAnsiTheme="minorHAnsi" w:cstheme="minorHAnsi"/>
          <w:b w:val="0"/>
          <w:bCs w:val="0"/>
          <w:color w:val="06148C"/>
          <w:sz w:val="22"/>
          <w:szCs w:val="22"/>
        </w:rPr>
        <w:t>Vu le décret n° 2006-779 du 3 juillet 2006 portant attribution de la nouvelle bonification indiciaire à certains personnels de la fonction publique territoriale (</w:t>
      </w:r>
      <w:r w:rsidRPr="00DE186E">
        <w:rPr>
          <w:rFonts w:asciiTheme="minorHAnsi" w:hAnsiTheme="minorHAnsi" w:cstheme="minorHAnsi"/>
          <w:i/>
          <w:caps/>
          <w:color w:val="06148C"/>
          <w:sz w:val="22"/>
          <w:szCs w:val="22"/>
        </w:rPr>
        <w:t>NBI Durafour</w:t>
      </w:r>
      <w:r w:rsidRPr="00DE186E">
        <w:rPr>
          <w:rFonts w:asciiTheme="minorHAnsi" w:hAnsiTheme="minorHAnsi" w:cstheme="minorHAnsi"/>
          <w:caps/>
          <w:color w:val="06148C"/>
          <w:sz w:val="22"/>
          <w:szCs w:val="22"/>
        </w:rPr>
        <w:t>),</w:t>
      </w:r>
    </w:p>
    <w:p w:rsidR="00755411" w:rsidRPr="00DE186E" w:rsidRDefault="00755411" w:rsidP="00F75497">
      <w:pPr>
        <w:pStyle w:val="Sansinterligne"/>
        <w:jc w:val="both"/>
        <w:rPr>
          <w:rStyle w:val="lev"/>
          <w:rFonts w:asciiTheme="minorHAnsi" w:hAnsiTheme="minorHAnsi" w:cstheme="minorHAnsi"/>
          <w:bCs w:val="0"/>
          <w:color w:val="06148C"/>
          <w:sz w:val="22"/>
          <w:szCs w:val="22"/>
        </w:rPr>
      </w:pPr>
      <w:proofErr w:type="gramStart"/>
      <w:r w:rsidRPr="00DE186E">
        <w:rPr>
          <w:rStyle w:val="lev"/>
          <w:rFonts w:asciiTheme="minorHAnsi" w:hAnsiTheme="minorHAnsi" w:cstheme="minorHAnsi"/>
          <w:bCs w:val="0"/>
          <w:color w:val="06148C"/>
          <w:sz w:val="22"/>
          <w:szCs w:val="22"/>
        </w:rPr>
        <w:t>OU</w:t>
      </w:r>
      <w:proofErr w:type="gramEnd"/>
    </w:p>
    <w:p w:rsidR="00755411" w:rsidRPr="00DE186E" w:rsidRDefault="00755411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n° 2006-780 du 3 juillet 2006 portant attribution de la nouvelle bonification indiciaire à certains personnels de la fonction publique territoriale exerçant dans des zones à caractère sensible </w:t>
      </w:r>
      <w:r w:rsidRPr="00DE186E">
        <w:rPr>
          <w:rStyle w:val="lev"/>
          <w:rFonts w:asciiTheme="minorHAnsi" w:hAnsiTheme="minorHAnsi" w:cstheme="minorHAnsi"/>
          <w:b w:val="0"/>
          <w:bCs w:val="0"/>
          <w:color w:val="06148C"/>
          <w:sz w:val="22"/>
          <w:szCs w:val="22"/>
        </w:rPr>
        <w:t>(</w:t>
      </w:r>
      <w:r w:rsidRPr="00DE186E">
        <w:rPr>
          <w:rFonts w:asciiTheme="minorHAnsi" w:hAnsiTheme="minorHAnsi" w:cstheme="minorHAnsi"/>
          <w:i/>
          <w:caps/>
          <w:color w:val="06148C"/>
          <w:sz w:val="22"/>
          <w:szCs w:val="22"/>
        </w:rPr>
        <w:t>NBI VILLE</w:t>
      </w:r>
      <w:r w:rsidRPr="00DE186E">
        <w:rPr>
          <w:rFonts w:asciiTheme="minorHAnsi" w:hAnsiTheme="minorHAnsi" w:cstheme="minorHAnsi"/>
          <w:caps/>
          <w:color w:val="06148C"/>
          <w:sz w:val="22"/>
          <w:szCs w:val="22"/>
        </w:rPr>
        <w:t xml:space="preserve">) 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et le décret n° 96-1156 du 26 décembre 1996, fixant la liste des zones urbaines sensibles,</w:t>
      </w:r>
    </w:p>
    <w:p w:rsidR="007928AB" w:rsidRPr="00DE186E" w:rsidRDefault="007928AB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 </w:t>
      </w:r>
    </w:p>
    <w:p w:rsidR="007928AB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7928AB" w:rsidRPr="00DE186E">
        <w:rPr>
          <w:rFonts w:asciiTheme="minorHAnsi" w:hAnsiTheme="minorHAnsi" w:cstheme="minorHAnsi"/>
          <w:color w:val="06148C"/>
          <w:sz w:val="22"/>
          <w:szCs w:val="22"/>
        </w:rPr>
        <w:t>n° 2007-1828 du 24 décembre 2007 portant modification des dispositions applicables à certains emplois de direction des collectivités territoriales et des établissements publics locaux assimilés et de certains statuts particuliers de cadres d'emplois de catégorie A de la fonction publique territoriale</w:t>
      </w:r>
      <w:r w:rsidR="00F210CA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CA2C77" w:rsidRPr="00DE186E" w:rsidRDefault="00CA2C77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CA2C77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CA2C77" w:rsidRPr="00DE186E">
        <w:rPr>
          <w:rFonts w:asciiTheme="minorHAnsi" w:hAnsiTheme="minorHAnsi" w:cstheme="minorHAnsi"/>
          <w:color w:val="06148C"/>
          <w:sz w:val="22"/>
          <w:szCs w:val="22"/>
        </w:rPr>
        <w:t>n° 2015-1386 du 30 octobre 2015 relatif à la nouvelle bonification indiciaire attribuée aux fonctionnaires de la fonction publique territoriale au titre de la mise en œuvre de la politique de la ville, à la suite de la création des quartiers prioritaires de la politique de la ville</w:t>
      </w:r>
    </w:p>
    <w:p w:rsidR="00F210CA" w:rsidRPr="00DE186E" w:rsidRDefault="00F210CA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F210CA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F210CA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n° 2017-94 du 26 janvier 2017 portant attribution de la nouvelle bonification indiciaire à certains personnels de la fonction publique territoriale, </w:t>
      </w:r>
    </w:p>
    <w:p w:rsidR="003276BB" w:rsidRPr="00DE186E" w:rsidRDefault="003276BB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3276BB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3276BB" w:rsidRPr="00DE186E">
        <w:rPr>
          <w:rFonts w:asciiTheme="minorHAnsi" w:hAnsiTheme="minorHAnsi" w:cstheme="minorHAnsi"/>
          <w:color w:val="06148C"/>
          <w:sz w:val="22"/>
          <w:szCs w:val="22"/>
        </w:rPr>
        <w:t>n° 2022-281 du 28 février 2022 relatif à la nouvelle bonification indiciaire des secrétaires de mairie des communes de moins de 2 000 habitants</w:t>
      </w:r>
      <w:r w:rsidR="001677CB" w:rsidRPr="00DE186E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55411" w:rsidRPr="00DE186E" w:rsidRDefault="00755411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776618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Considérant que M/Mme ................. </w:t>
      </w:r>
      <w:proofErr w:type="gramStart"/>
      <w:r w:rsidRPr="00DE186E">
        <w:rPr>
          <w:rFonts w:asciiTheme="minorHAnsi" w:hAnsiTheme="minorHAnsi" w:cstheme="minorHAnsi"/>
          <w:color w:val="06148C"/>
          <w:sz w:val="22"/>
          <w:szCs w:val="22"/>
        </w:rPr>
        <w:t>titulaire</w:t>
      </w:r>
      <w:proofErr w:type="gramEnd"/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ou stagiaire sur le grade de ........, ……………….. </w:t>
      </w:r>
      <w:proofErr w:type="gramStart"/>
      <w:r w:rsidRPr="00DE186E">
        <w:rPr>
          <w:rFonts w:asciiTheme="minorHAnsi" w:hAnsiTheme="minorHAnsi" w:cstheme="minorHAnsi"/>
          <w:color w:val="06148C"/>
          <w:sz w:val="22"/>
          <w:szCs w:val="22"/>
        </w:rPr>
        <w:t>échelon</w:t>
      </w:r>
      <w:proofErr w:type="gramEnd"/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, Indice Brut..........., Indice Majoré............, exerce depuis le ........ </w:t>
      </w:r>
      <w:proofErr w:type="gramStart"/>
      <w:r w:rsidRPr="00DE186E">
        <w:rPr>
          <w:rFonts w:asciiTheme="minorHAnsi" w:hAnsiTheme="minorHAnsi" w:cstheme="minorHAnsi"/>
          <w:color w:val="06148C"/>
          <w:sz w:val="22"/>
          <w:szCs w:val="22"/>
        </w:rPr>
        <w:t>les</w:t>
      </w:r>
      <w:proofErr w:type="gramEnd"/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fonctions de .......... </w:t>
      </w: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>fonctions</w:t>
      </w:r>
      <w:proofErr w:type="gramEnd"/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énumérées par les décrets susvisés), 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prévues par le statut particulier du cadre d’emplois des</w:t>
      </w:r>
      <w:r w:rsidR="00776618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………….</w:t>
      </w:r>
      <w:r w:rsidR="00776618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(Si l’agent peut bénéficier de plusieurs NBI car il exerce plusieurs fonctions y ouvrant droit, il bénéficie de la NBI lui </w:t>
      </w: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lastRenderedPageBreak/>
        <w:t>apportant le plus grand nombre de points d’indice majoré).</w:t>
      </w:r>
    </w:p>
    <w:p w:rsidR="0053704B" w:rsidRPr="00DE186E" w:rsidRDefault="0053704B" w:rsidP="00F75497">
      <w:pPr>
        <w:shd w:val="clear" w:color="auto" w:fill="FFFFFF"/>
        <w:rPr>
          <w:rFonts w:asciiTheme="minorHAnsi" w:hAnsiTheme="minorHAnsi" w:cstheme="minorHAnsi"/>
          <w:b/>
          <w:bCs/>
          <w:color w:val="06148C"/>
          <w:spacing w:val="-15"/>
          <w:sz w:val="22"/>
          <w:szCs w:val="22"/>
        </w:rPr>
      </w:pPr>
    </w:p>
    <w:p w:rsidR="00F75497" w:rsidRPr="00AC40A0" w:rsidRDefault="00F75497" w:rsidP="00F75497">
      <w:pPr>
        <w:pStyle w:val="arrte"/>
        <w:rPr>
          <w:rFonts w:ascii="Calibri" w:hAnsi="Calibri" w:cs="Calibri"/>
          <w:color w:val="06148C"/>
        </w:rPr>
      </w:pPr>
      <w:r w:rsidRPr="00AC40A0">
        <w:rPr>
          <w:rFonts w:ascii="Calibri" w:hAnsi="Calibri" w:cs="Calibri"/>
          <w:color w:val="06148C"/>
        </w:rPr>
        <w:t>ARRETE</w:t>
      </w:r>
    </w:p>
    <w:p w:rsidR="0053704B" w:rsidRPr="00DE186E" w:rsidRDefault="0053704B" w:rsidP="0053704B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53704B" w:rsidRPr="00F75497" w:rsidRDefault="0053704B" w:rsidP="0053704B">
      <w:pPr>
        <w:pStyle w:val="articlecontenu"/>
        <w:ind w:right="990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1</w:t>
      </w:r>
      <w:r w:rsidR="00F75497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53704B" w:rsidRPr="00F75497" w:rsidRDefault="0053704B" w:rsidP="00F75497">
      <w:pPr>
        <w:pStyle w:val="Sansinterligne"/>
        <w:ind w:firstLine="70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A compter du …… (</w:t>
      </w:r>
      <w:r w:rsidRPr="00F75497">
        <w:rPr>
          <w:rFonts w:asciiTheme="minorHAnsi" w:hAnsiTheme="minorHAnsi" w:cstheme="minorHAnsi"/>
          <w:i/>
          <w:color w:val="06148C"/>
          <w:sz w:val="22"/>
          <w:szCs w:val="22"/>
        </w:rPr>
        <w:t>date depuis laquelle l’intéressé(e) exerce les fonctions précitées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), </w:t>
      </w:r>
      <w:r w:rsidRPr="00F75497">
        <w:rPr>
          <w:rFonts w:asciiTheme="minorHAnsi" w:hAnsiTheme="minorHAnsi" w:cstheme="minorHAnsi"/>
          <w:color w:val="06148C"/>
          <w:spacing w:val="-2"/>
          <w:sz w:val="22"/>
          <w:szCs w:val="22"/>
        </w:rPr>
        <w:t xml:space="preserve">M/Mme ................................,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bénéficie d’une bonification indiciaire de …………. </w:t>
      </w:r>
      <w:proofErr w:type="gramStart"/>
      <w:r w:rsidRPr="00F75497">
        <w:rPr>
          <w:rFonts w:asciiTheme="minorHAnsi" w:hAnsiTheme="minorHAnsi" w:cstheme="minorHAnsi"/>
          <w:color w:val="06148C"/>
          <w:sz w:val="22"/>
          <w:szCs w:val="22"/>
        </w:rPr>
        <w:t>points</w:t>
      </w:r>
      <w:proofErr w:type="gramEnd"/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 d’indice majoré. </w:t>
      </w:r>
    </w:p>
    <w:p w:rsidR="0053704B" w:rsidRPr="00F75497" w:rsidRDefault="0053704B" w:rsidP="0053704B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Il/elle sera donc rémunéré</w:t>
      </w:r>
      <w:r w:rsidRPr="00F75497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(e)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sur la base de l’Indice Majoré................. </w:t>
      </w:r>
      <w:r w:rsidRPr="00F75497">
        <w:rPr>
          <w:rFonts w:asciiTheme="minorHAnsi" w:hAnsiTheme="minorHAnsi" w:cstheme="minorHAnsi"/>
          <w:i/>
          <w:iCs/>
          <w:color w:val="06148C"/>
          <w:sz w:val="22"/>
          <w:szCs w:val="22"/>
        </w:rPr>
        <w:t>(Indice Majoré compte tenu de la bonification indiciaire)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53704B" w:rsidRPr="00F75497" w:rsidRDefault="0053704B" w:rsidP="00D23495">
      <w:pPr>
        <w:pStyle w:val="articlecontenu"/>
        <w:spacing w:before="240"/>
        <w:ind w:right="992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2</w:t>
      </w:r>
      <w:r w:rsidR="007310C6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53704B" w:rsidRPr="00F75497" w:rsidRDefault="0053704B" w:rsidP="007310C6">
      <w:pPr>
        <w:pStyle w:val="Sansinterligne"/>
        <w:ind w:firstLine="70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La NBI continue d’être versée dans les mêmes proportions que le traitement durant les périodes de congés annuels et bonifiés</w:t>
      </w:r>
      <w:r w:rsidR="007310C6">
        <w:rPr>
          <w:rFonts w:asciiTheme="minorHAnsi" w:hAnsiTheme="minorHAnsi" w:cstheme="minorHAnsi"/>
          <w:color w:val="06148C"/>
          <w:sz w:val="22"/>
          <w:szCs w:val="22"/>
        </w:rPr>
        <w:t>,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="00D23495">
        <w:rPr>
          <w:rFonts w:asciiTheme="minorHAnsi" w:hAnsiTheme="minorHAnsi" w:cstheme="minorHAnsi"/>
          <w:color w:val="06148C"/>
          <w:sz w:val="22"/>
          <w:szCs w:val="22"/>
        </w:rPr>
        <w:t xml:space="preserve">des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congés de maladie ordinaire, des congés</w:t>
      </w:r>
      <w:r w:rsidR="007310C6">
        <w:rPr>
          <w:rFonts w:asciiTheme="minorHAnsi" w:hAnsiTheme="minorHAnsi" w:cstheme="minorHAnsi"/>
          <w:color w:val="06148C"/>
          <w:sz w:val="22"/>
          <w:szCs w:val="22"/>
        </w:rPr>
        <w:t xml:space="preserve"> pour invalidité temporaire imputable au service,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congés de maternité, de paternité </w:t>
      </w:r>
      <w:r w:rsidR="00D23495">
        <w:rPr>
          <w:rFonts w:asciiTheme="minorHAnsi" w:hAnsiTheme="minorHAnsi" w:cstheme="minorHAnsi"/>
          <w:color w:val="06148C"/>
          <w:sz w:val="22"/>
          <w:szCs w:val="22"/>
        </w:rPr>
        <w:t xml:space="preserve">et d’accueil d’un enfant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ou d’adoption</w:t>
      </w:r>
      <w:r w:rsidR="00D23495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des congés de longue maladie, tant que l’agent n’est pas remplacé dans ses fonctions.</w:t>
      </w:r>
    </w:p>
    <w:p w:rsidR="0053704B" w:rsidRPr="00F75497" w:rsidRDefault="0053704B" w:rsidP="0053704B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Le versement est suspendu dans tous les autres cas de congés.</w:t>
      </w:r>
    </w:p>
    <w:p w:rsidR="0053704B" w:rsidRPr="00F75497" w:rsidRDefault="0053704B" w:rsidP="00D23495">
      <w:pPr>
        <w:pStyle w:val="articlecontenu"/>
        <w:spacing w:before="240"/>
        <w:ind w:right="992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3</w:t>
      </w:r>
      <w:r w:rsidR="00D23495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53704B" w:rsidRPr="00F75497" w:rsidRDefault="0053704B" w:rsidP="00D23495">
      <w:pPr>
        <w:pStyle w:val="Sansinterligne"/>
        <w:ind w:firstLine="70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(</w:t>
      </w:r>
      <w:r w:rsidRPr="00F75497">
        <w:rPr>
          <w:rFonts w:asciiTheme="minorHAnsi" w:hAnsiTheme="minorHAnsi" w:cstheme="minorHAnsi"/>
          <w:i/>
          <w:color w:val="06148C"/>
          <w:sz w:val="22"/>
          <w:szCs w:val="22"/>
        </w:rPr>
        <w:t>Le cas échéant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) M/Mme ………</w:t>
      </w:r>
      <w:proofErr w:type="gramStart"/>
      <w:r w:rsidRPr="00F75497">
        <w:rPr>
          <w:rFonts w:asciiTheme="minorHAnsi" w:hAnsiTheme="minorHAnsi" w:cstheme="minorHAnsi"/>
          <w:color w:val="06148C"/>
          <w:sz w:val="22"/>
          <w:szCs w:val="22"/>
        </w:rPr>
        <w:t>…....</w:t>
      </w:r>
      <w:proofErr w:type="gramEnd"/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. </w:t>
      </w:r>
      <w:proofErr w:type="gramStart"/>
      <w:r w:rsidRPr="00F75497">
        <w:rPr>
          <w:rFonts w:asciiTheme="minorHAnsi" w:hAnsiTheme="minorHAnsi" w:cstheme="minorHAnsi"/>
          <w:color w:val="06148C"/>
          <w:sz w:val="22"/>
          <w:szCs w:val="22"/>
        </w:rPr>
        <w:t>exerçant</w:t>
      </w:r>
      <w:proofErr w:type="gramEnd"/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 ses fonctions à temps partiel à ...% </w:t>
      </w:r>
      <w:r w:rsidRPr="00F75497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(ou occupant un emploi à temps non complet de ...%),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le versement de la NBI est proratisé dans les mêmes proportions que son traitement indiciaire.</w:t>
      </w:r>
    </w:p>
    <w:p w:rsidR="0053704B" w:rsidRPr="00F75497" w:rsidRDefault="0053704B" w:rsidP="00D23495">
      <w:pPr>
        <w:pStyle w:val="articlecontenu"/>
        <w:spacing w:before="240"/>
        <w:ind w:right="992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4</w:t>
      </w:r>
      <w:r w:rsidR="00D23495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D23495" w:rsidRDefault="00D23495" w:rsidP="00E26A97">
      <w:pPr>
        <w:autoSpaceDE/>
        <w:ind w:firstLine="709"/>
        <w:jc w:val="both"/>
        <w:rPr>
          <w:rFonts w:ascii="Calibri" w:hAnsi="Calibri" w:cs="Calibri"/>
          <w:color w:val="06148C"/>
          <w:sz w:val="22"/>
          <w:szCs w:val="22"/>
        </w:rPr>
      </w:pPr>
      <w:bookmarkStart w:id="0" w:name="_Hlk165629306"/>
      <w:bookmarkStart w:id="1" w:name="_Hlk171605712"/>
      <w:bookmarkStart w:id="2" w:name="_Hlk160023581"/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bookmarkEnd w:id="0"/>
    <w:p w:rsidR="00D23495" w:rsidRDefault="00D23495" w:rsidP="00D23495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D23495" w:rsidRDefault="00D23495" w:rsidP="00D23495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D23495" w:rsidRDefault="00D23495" w:rsidP="00D23495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Le Maire (ou le Président),</w:t>
      </w:r>
    </w:p>
    <w:p w:rsidR="00D23495" w:rsidRDefault="00D23495" w:rsidP="00D23495">
      <w:pPr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D23495" w:rsidRDefault="00D23495" w:rsidP="00D23495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D23495" w:rsidRDefault="00D23495" w:rsidP="00D23495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- informe que le présent arrêté peut faire l’objet d’un recours pour excès de pouvoir devant le Tribunal Administratif </w:t>
      </w:r>
      <w:r w:rsidR="00A9338C" w:rsidRPr="007350ED">
        <w:rPr>
          <w:rFonts w:asciiTheme="minorHAnsi" w:hAnsiTheme="minorHAnsi" w:cstheme="minorHAnsi"/>
          <w:color w:val="06148C"/>
        </w:rPr>
        <w:t xml:space="preserve">de Châlons-en-Champagne </w:t>
      </w:r>
      <w:bookmarkStart w:id="3" w:name="_GoBack"/>
      <w:bookmarkEnd w:id="3"/>
      <w:r>
        <w:rPr>
          <w:rFonts w:ascii="Calibri" w:hAnsi="Calibri" w:cs="Calibri"/>
          <w:color w:val="06148C"/>
        </w:rPr>
        <w:t>dans un délai de deux mois à compter de la présente notification.</w:t>
      </w:r>
    </w:p>
    <w:p w:rsidR="00D23495" w:rsidRDefault="00D23495" w:rsidP="00D23495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D23495" w:rsidRDefault="00D23495" w:rsidP="00D23495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D23495" w:rsidRDefault="00D23495" w:rsidP="00D23495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6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D23495" w:rsidRDefault="00D23495" w:rsidP="00D23495">
      <w:pPr>
        <w:pStyle w:val="recours"/>
        <w:ind w:right="6501"/>
        <w:rPr>
          <w:rFonts w:ascii="Calibri" w:hAnsi="Calibri" w:cs="Calibri"/>
          <w:color w:val="06148C"/>
        </w:rPr>
      </w:pPr>
    </w:p>
    <w:p w:rsidR="00D23495" w:rsidRDefault="00D23495" w:rsidP="00D23495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</w:p>
    <w:p w:rsidR="00D23495" w:rsidRDefault="00D23495" w:rsidP="00D23495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Signature de l’agent :</w:t>
      </w:r>
    </w:p>
    <w:p w:rsidR="00D23495" w:rsidRDefault="00D23495" w:rsidP="00D23495">
      <w:pPr>
        <w:pStyle w:val="recours"/>
        <w:rPr>
          <w:rFonts w:ascii="Calibri" w:hAnsi="Calibri" w:cs="Calibri"/>
          <w:color w:val="06148C"/>
        </w:rPr>
      </w:pPr>
    </w:p>
    <w:p w:rsidR="00D23495" w:rsidRPr="00633339" w:rsidRDefault="00D23495" w:rsidP="00D23495">
      <w:pPr>
        <w:pStyle w:val="articlecontenu"/>
        <w:rPr>
          <w:color w:val="06148C"/>
          <w:sz w:val="16"/>
          <w:szCs w:val="16"/>
        </w:rPr>
      </w:pPr>
    </w:p>
    <w:bookmarkEnd w:id="1"/>
    <w:p w:rsidR="00D23495" w:rsidRDefault="00D23495" w:rsidP="00D23495">
      <w:pPr>
        <w:pStyle w:val="recours"/>
        <w:rPr>
          <w:rFonts w:ascii="Calibri" w:hAnsi="Calibri" w:cs="Calibri"/>
          <w:color w:val="06148C"/>
        </w:rPr>
      </w:pPr>
    </w:p>
    <w:p w:rsidR="00D23495" w:rsidRPr="00633339" w:rsidRDefault="00D23495" w:rsidP="00D23495">
      <w:pPr>
        <w:pStyle w:val="articlecontenu"/>
        <w:rPr>
          <w:color w:val="06148C"/>
          <w:sz w:val="16"/>
          <w:szCs w:val="16"/>
        </w:rPr>
      </w:pPr>
    </w:p>
    <w:p w:rsidR="00D23495" w:rsidRPr="00243E25" w:rsidRDefault="00D23495" w:rsidP="00D23495">
      <w:pPr>
        <w:pStyle w:val="notifi"/>
        <w:rPr>
          <w:rFonts w:ascii="Calibri" w:hAnsi="Calibri" w:cs="Calibri"/>
          <w:color w:val="06148C"/>
        </w:rPr>
      </w:pPr>
    </w:p>
    <w:p w:rsidR="00D23495" w:rsidRPr="00AC40A0" w:rsidRDefault="00D23495" w:rsidP="00D23495">
      <w:pPr>
        <w:pStyle w:val="articlen"/>
        <w:spacing w:before="0"/>
        <w:ind w:firstLine="567"/>
        <w:rPr>
          <w:rFonts w:ascii="Calibri" w:hAnsi="Calibri" w:cs="Calibri"/>
          <w:color w:val="06148C"/>
        </w:rPr>
      </w:pPr>
    </w:p>
    <w:bookmarkEnd w:id="2"/>
    <w:sectPr w:rsidR="00D23495" w:rsidRPr="00AC40A0" w:rsidSect="00DE186E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502" w:rsidRDefault="00AA5502" w:rsidP="00926D22">
      <w:r>
        <w:separator/>
      </w:r>
    </w:p>
  </w:endnote>
  <w:endnote w:type="continuationSeparator" w:id="0">
    <w:p w:rsidR="00AA5502" w:rsidRDefault="00AA5502" w:rsidP="0092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DE186E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E186E" w:rsidRPr="00882918" w:rsidRDefault="00DE186E" w:rsidP="00DE186E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attribution nbi</w:t>
          </w:r>
        </w:p>
      </w:tc>
      <w:tc>
        <w:tcPr>
          <w:tcW w:w="1542" w:type="pct"/>
          <w:shd w:val="clear" w:color="auto" w:fill="06148C"/>
          <w:vAlign w:val="center"/>
        </w:tcPr>
        <w:p w:rsidR="00DE186E" w:rsidRPr="00882918" w:rsidRDefault="00E26A97" w:rsidP="00DE186E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11/07</w:t>
          </w:r>
          <w:r w:rsidR="00DE186E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926D22" w:rsidRPr="004748A4" w:rsidRDefault="00DE186E" w:rsidP="004748A4">
    <w:pPr>
      <w:pStyle w:val="Pieddepage"/>
      <w:tabs>
        <w:tab w:val="right" w:pos="7370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776" behindDoc="0" locked="0" layoutInCell="1" allowOverlap="1" wp14:anchorId="775A36CD">
          <wp:simplePos x="0" y="0"/>
          <wp:positionH relativeFrom="margin">
            <wp:posOffset>4874260</wp:posOffset>
          </wp:positionH>
          <wp:positionV relativeFrom="paragraph">
            <wp:posOffset>-323215</wp:posOffset>
          </wp:positionV>
          <wp:extent cx="1771650" cy="533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5340985</wp:posOffset>
          </wp:positionH>
          <wp:positionV relativeFrom="paragraph">
            <wp:posOffset>9907905</wp:posOffset>
          </wp:positionV>
          <wp:extent cx="1762125" cy="524510"/>
          <wp:effectExtent l="0" t="0" r="9525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DE186E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E186E" w:rsidRPr="00882918" w:rsidRDefault="00DE186E" w:rsidP="00DE186E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attribution nbi</w:t>
          </w:r>
        </w:p>
      </w:tc>
      <w:tc>
        <w:tcPr>
          <w:tcW w:w="1542" w:type="pct"/>
          <w:shd w:val="clear" w:color="auto" w:fill="06148C"/>
          <w:vAlign w:val="center"/>
        </w:tcPr>
        <w:p w:rsidR="00DE186E" w:rsidRPr="00882918" w:rsidRDefault="00DE186E" w:rsidP="00DE186E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28/02/2024</w:t>
          </w:r>
        </w:p>
      </w:tc>
    </w:tr>
  </w:tbl>
  <w:p w:rsidR="004748A4" w:rsidRDefault="004748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502" w:rsidRDefault="00AA5502" w:rsidP="00926D22">
      <w:r>
        <w:separator/>
      </w:r>
    </w:p>
  </w:footnote>
  <w:footnote w:type="continuationSeparator" w:id="0">
    <w:p w:rsidR="00AA5502" w:rsidRDefault="00AA5502" w:rsidP="0092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A4" w:rsidRDefault="00DE186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-450850</wp:posOffset>
          </wp:positionV>
          <wp:extent cx="7557135" cy="1068959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4B"/>
    <w:rsid w:val="00005543"/>
    <w:rsid w:val="001677CB"/>
    <w:rsid w:val="001824FC"/>
    <w:rsid w:val="00213B46"/>
    <w:rsid w:val="003276BB"/>
    <w:rsid w:val="003A17BD"/>
    <w:rsid w:val="003D511C"/>
    <w:rsid w:val="004748A4"/>
    <w:rsid w:val="0053704B"/>
    <w:rsid w:val="0069602C"/>
    <w:rsid w:val="006C0B5A"/>
    <w:rsid w:val="007310C6"/>
    <w:rsid w:val="00755411"/>
    <w:rsid w:val="00776618"/>
    <w:rsid w:val="007928AB"/>
    <w:rsid w:val="007B45F9"/>
    <w:rsid w:val="00834E9D"/>
    <w:rsid w:val="00891414"/>
    <w:rsid w:val="008E5EC6"/>
    <w:rsid w:val="00926D22"/>
    <w:rsid w:val="009A21D2"/>
    <w:rsid w:val="009A5940"/>
    <w:rsid w:val="00A5476C"/>
    <w:rsid w:val="00A9338C"/>
    <w:rsid w:val="00AA5502"/>
    <w:rsid w:val="00AD4C5C"/>
    <w:rsid w:val="00B52B69"/>
    <w:rsid w:val="00C1068B"/>
    <w:rsid w:val="00C334AB"/>
    <w:rsid w:val="00C564EA"/>
    <w:rsid w:val="00CA2C77"/>
    <w:rsid w:val="00CD7A2C"/>
    <w:rsid w:val="00D23495"/>
    <w:rsid w:val="00D870AD"/>
    <w:rsid w:val="00DE186E"/>
    <w:rsid w:val="00E26A97"/>
    <w:rsid w:val="00EF47D1"/>
    <w:rsid w:val="00F16165"/>
    <w:rsid w:val="00F210CA"/>
    <w:rsid w:val="00F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8E9EF2A-F640-4898-B98F-936E92E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rsid w:val="0053704B"/>
    <w:pPr>
      <w:widowControl/>
      <w:tabs>
        <w:tab w:val="right" w:pos="6663"/>
        <w:tab w:val="right" w:pos="9923"/>
      </w:tabs>
      <w:adjustRightInd/>
      <w:ind w:left="4252"/>
      <w:jc w:val="center"/>
    </w:pPr>
  </w:style>
  <w:style w:type="character" w:customStyle="1" w:styleId="SignatureCar">
    <w:name w:val="Signature Car"/>
    <w:basedOn w:val="Policepardfaut"/>
    <w:link w:val="Signature"/>
    <w:rsid w:val="0053704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contenu">
    <w:name w:val="article : contenu"/>
    <w:basedOn w:val="Normal"/>
    <w:rsid w:val="0053704B"/>
    <w:pPr>
      <w:widowControl/>
      <w:adjustRightInd/>
      <w:spacing w:after="140"/>
      <w:ind w:firstLine="567"/>
      <w:jc w:val="both"/>
    </w:pPr>
  </w:style>
  <w:style w:type="paragraph" w:customStyle="1" w:styleId="recours">
    <w:name w:val="recours"/>
    <w:basedOn w:val="articlecontenu"/>
    <w:rsid w:val="0053704B"/>
    <w:pPr>
      <w:spacing w:after="0"/>
      <w:ind w:left="284" w:right="6095" w:firstLine="0"/>
    </w:pPr>
    <w:rPr>
      <w:sz w:val="16"/>
      <w:szCs w:val="16"/>
    </w:rPr>
  </w:style>
  <w:style w:type="paragraph" w:customStyle="1" w:styleId="VuConsidrant">
    <w:name w:val="Vu.Considérant"/>
    <w:basedOn w:val="Normal"/>
    <w:rsid w:val="0053704B"/>
    <w:pPr>
      <w:widowControl/>
      <w:adjustRightInd/>
      <w:spacing w:after="140"/>
      <w:jc w:val="both"/>
    </w:pPr>
  </w:style>
  <w:style w:type="paragraph" w:styleId="Sansinterligne">
    <w:name w:val="No Spacing"/>
    <w:uiPriority w:val="1"/>
    <w:qFormat/>
    <w:rsid w:val="00537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styleId="lev">
    <w:name w:val="Strong"/>
    <w:basedOn w:val="Policepardfaut"/>
    <w:qFormat/>
    <w:rsid w:val="0053704B"/>
    <w:rPr>
      <w:b/>
      <w:bCs/>
    </w:rPr>
  </w:style>
  <w:style w:type="character" w:styleId="Lienhypertexte">
    <w:name w:val="Hyperlink"/>
    <w:basedOn w:val="Policepardfaut"/>
    <w:uiPriority w:val="99"/>
    <w:unhideWhenUsed/>
    <w:rsid w:val="00926D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6D2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926D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D22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926D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6D2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tifi">
    <w:name w:val="notifié à"/>
    <w:basedOn w:val="articlecontenu"/>
    <w:rsid w:val="00C1068B"/>
    <w:pPr>
      <w:spacing w:after="0"/>
      <w:ind w:left="567" w:firstLine="0"/>
    </w:pPr>
  </w:style>
  <w:style w:type="paragraph" w:customStyle="1" w:styleId="arrte">
    <w:name w:val="&quot;arrête&quot;"/>
    <w:basedOn w:val="VuConsidrant"/>
    <w:rsid w:val="00F7549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23495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ANTOINE</dc:creator>
  <cp:lastModifiedBy>Margaux DOREZ</cp:lastModifiedBy>
  <cp:revision>21</cp:revision>
  <dcterms:created xsi:type="dcterms:W3CDTF">2018-07-30T14:01:00Z</dcterms:created>
  <dcterms:modified xsi:type="dcterms:W3CDTF">2024-11-06T09:53:00Z</dcterms:modified>
</cp:coreProperties>
</file>