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A4775" w14:textId="003BCE39" w:rsidR="00542CB1" w:rsidRPr="00542CB1" w:rsidRDefault="00302309" w:rsidP="00542CB1">
      <w:pPr>
        <w:shd w:val="clear" w:color="auto" w:fill="D9D9D9" w:themeFill="background1" w:themeFillShade="D9"/>
        <w:jc w:val="center"/>
        <w:rPr>
          <w:b/>
          <w:sz w:val="28"/>
        </w:rPr>
      </w:pPr>
      <w:r>
        <w:rPr>
          <w:b/>
          <w:sz w:val="28"/>
        </w:rPr>
        <w:t>Délibération</w:t>
      </w:r>
      <w:r w:rsidR="007D5E66" w:rsidRPr="00542CB1">
        <w:rPr>
          <w:b/>
          <w:sz w:val="28"/>
        </w:rPr>
        <w:t xml:space="preserve"> </w:t>
      </w:r>
      <w:r w:rsidR="00AD28E0" w:rsidRPr="00542CB1">
        <w:rPr>
          <w:b/>
          <w:sz w:val="28"/>
        </w:rPr>
        <w:t xml:space="preserve">d’adhésion </w:t>
      </w:r>
      <w:r w:rsidR="00F27AB6" w:rsidRPr="00542CB1">
        <w:rPr>
          <w:b/>
          <w:sz w:val="28"/>
        </w:rPr>
        <w:br/>
        <w:t>à la mission</w:t>
      </w:r>
      <w:r w:rsidR="00AD28E0" w:rsidRPr="00542CB1">
        <w:rPr>
          <w:b/>
          <w:sz w:val="28"/>
        </w:rPr>
        <w:t xml:space="preserve"> de </w:t>
      </w:r>
      <w:r w:rsidR="00671F1D">
        <w:rPr>
          <w:b/>
          <w:sz w:val="28"/>
        </w:rPr>
        <w:t>retraite à façon p</w:t>
      </w:r>
      <w:r w:rsidR="00F27AB6" w:rsidRPr="00542CB1">
        <w:rPr>
          <w:b/>
          <w:sz w:val="28"/>
        </w:rPr>
        <w:t xml:space="preserve">roposée par le CDG </w:t>
      </w:r>
      <w:r w:rsidR="00542CB1" w:rsidRPr="00542CB1">
        <w:rPr>
          <w:b/>
          <w:sz w:val="28"/>
        </w:rPr>
        <w:t>51</w:t>
      </w:r>
    </w:p>
    <w:p w14:paraId="52822710" w14:textId="77777777" w:rsidR="007D5E66" w:rsidRDefault="007D5E66"/>
    <w:p w14:paraId="543FBDFC" w14:textId="77777777" w:rsidR="0056348C" w:rsidRDefault="00522151" w:rsidP="000B6FF1">
      <w:pPr>
        <w:autoSpaceDE w:val="0"/>
        <w:autoSpaceDN w:val="0"/>
        <w:adjustRightInd w:val="0"/>
        <w:spacing w:before="120"/>
        <w:rPr>
          <w:rFonts w:cs="Tahoma"/>
          <w:szCs w:val="20"/>
        </w:rPr>
      </w:pPr>
      <w:r>
        <w:rPr>
          <w:rFonts w:cs="Tahoma"/>
          <w:szCs w:val="20"/>
        </w:rPr>
        <w:t xml:space="preserve">Le Centre de gestion constitue un véritable relai en matière de retraite auprès des collectivités et établissements publics affiliés, </w:t>
      </w:r>
      <w:r w:rsidR="0056348C">
        <w:rPr>
          <w:rFonts w:cs="Tahoma"/>
          <w:szCs w:val="20"/>
        </w:rPr>
        <w:t xml:space="preserve">assurant des missions de contrôle, de conseil, d’information et d’accompagnement des employeurs et des actifs. </w:t>
      </w:r>
    </w:p>
    <w:p w14:paraId="61D75DCA" w14:textId="77777777" w:rsidR="00BB4E15" w:rsidRPr="00BB4E15" w:rsidRDefault="00BB4E15" w:rsidP="00BB4E15">
      <w:pPr>
        <w:autoSpaceDE w:val="0"/>
        <w:autoSpaceDN w:val="0"/>
        <w:adjustRightInd w:val="0"/>
        <w:spacing w:before="120"/>
        <w:rPr>
          <w:rFonts w:eastAsiaTheme="minorHAnsi" w:cs="Tahoma"/>
          <w:szCs w:val="20"/>
        </w:rPr>
      </w:pPr>
      <w:r w:rsidRPr="00BB4E15">
        <w:rPr>
          <w:rFonts w:eastAsiaTheme="minorHAnsi" w:cs="Tahoma"/>
          <w:szCs w:val="20"/>
        </w:rPr>
        <w:t>Le législateur confie au Centre de Gestion, à titre obligatoire, l’assistance à l’établissement des comptes individuels de droits en matière de retraite (CIR) par leur fiabilisation (article L452-38 du Code général de la fonction publique) et à titre facultatif, à la demande des collectivités et établissements publics situés dans son ressort territorial, une mission de contrôle et de suivi des dossiers (article L452-41 du Code général de la fonction publique).</w:t>
      </w:r>
    </w:p>
    <w:p w14:paraId="11B399D5" w14:textId="3AA9E06A" w:rsidR="00817B9A" w:rsidRDefault="001C619D" w:rsidP="000B6FF1">
      <w:pPr>
        <w:autoSpaceDE w:val="0"/>
        <w:autoSpaceDN w:val="0"/>
        <w:adjustRightInd w:val="0"/>
        <w:spacing w:before="120"/>
        <w:rPr>
          <w:rFonts w:cs="Tahoma"/>
          <w:szCs w:val="20"/>
        </w:rPr>
      </w:pPr>
      <w:r>
        <w:rPr>
          <w:rFonts w:cs="Tahoma"/>
          <w:szCs w:val="20"/>
        </w:rPr>
        <w:t>Parallèlement, le CNRACL renforce l’autonomie des employeurs et des actifs en mettant à leur disposition des outils numériques permettant</w:t>
      </w:r>
      <w:r w:rsidR="00390F56">
        <w:rPr>
          <w:rFonts w:cs="Tahoma"/>
          <w:szCs w:val="20"/>
        </w:rPr>
        <w:t xml:space="preserve"> d’agir en toute autonomie, impliquant </w:t>
      </w:r>
      <w:r w:rsidR="005356A4">
        <w:rPr>
          <w:rFonts w:cs="Tahoma"/>
          <w:szCs w:val="20"/>
        </w:rPr>
        <w:t xml:space="preserve">de donner délégation au Centre de gestion pour agir sur la chaîne de traitement d’un dossier de retraite pour assurer une instruction complète ou un simple contrôle. </w:t>
      </w:r>
    </w:p>
    <w:p w14:paraId="3F05C7C6" w14:textId="602C4001" w:rsidR="00817B9A" w:rsidRDefault="00C753F0" w:rsidP="000B6FF1">
      <w:pPr>
        <w:autoSpaceDE w:val="0"/>
        <w:autoSpaceDN w:val="0"/>
        <w:adjustRightInd w:val="0"/>
        <w:spacing w:before="120"/>
        <w:rPr>
          <w:rFonts w:cs="Tahoma"/>
          <w:szCs w:val="20"/>
        </w:rPr>
      </w:pPr>
      <w:r>
        <w:rPr>
          <w:rFonts w:cs="Tahoma"/>
          <w:szCs w:val="20"/>
        </w:rPr>
        <w:t>Au-delà de l’assistance à l’établissement des CIR et de la tenue des accompagnements personnalisés à la retraite (APR)</w:t>
      </w:r>
      <w:r w:rsidR="00F85E8D">
        <w:rPr>
          <w:rFonts w:cs="Tahoma"/>
          <w:szCs w:val="20"/>
        </w:rPr>
        <w:t xml:space="preserve"> </w:t>
      </w:r>
      <w:r w:rsidR="009C3A5A">
        <w:rPr>
          <w:rFonts w:cs="Tahoma"/>
          <w:szCs w:val="20"/>
        </w:rPr>
        <w:t>assurés par le Centre de gestion comme mission obligatoire, une mission de « retraite à façon </w:t>
      </w:r>
      <w:bookmarkStart w:id="0" w:name="_Hlk180588204"/>
      <w:r w:rsidR="009C3A5A">
        <w:rPr>
          <w:rFonts w:cs="Tahoma"/>
          <w:szCs w:val="20"/>
        </w:rPr>
        <w:t xml:space="preserve">» </w:t>
      </w:r>
      <w:r w:rsidR="00E54410">
        <w:rPr>
          <w:rFonts w:cs="Tahoma"/>
          <w:szCs w:val="20"/>
        </w:rPr>
        <w:t xml:space="preserve">telle que </w:t>
      </w:r>
      <w:r w:rsidR="009C3A5A">
        <w:rPr>
          <w:rFonts w:cs="Tahoma"/>
          <w:szCs w:val="20"/>
        </w:rPr>
        <w:t xml:space="preserve">prévue </w:t>
      </w:r>
      <w:r w:rsidR="00E54410">
        <w:rPr>
          <w:rFonts w:cs="Tahoma"/>
          <w:szCs w:val="20"/>
        </w:rPr>
        <w:t>par</w:t>
      </w:r>
      <w:r w:rsidR="009C3A5A">
        <w:rPr>
          <w:rFonts w:cs="Tahoma"/>
          <w:szCs w:val="20"/>
        </w:rPr>
        <w:t xml:space="preserve"> l’article L452-41 du CGFP</w:t>
      </w:r>
      <w:r w:rsidR="00E54410">
        <w:rPr>
          <w:rFonts w:cs="Tahoma"/>
          <w:szCs w:val="20"/>
        </w:rPr>
        <w:t xml:space="preserve"> </w:t>
      </w:r>
      <w:bookmarkEnd w:id="0"/>
      <w:r w:rsidR="00E54410">
        <w:rPr>
          <w:rFonts w:cs="Tahoma"/>
          <w:szCs w:val="20"/>
        </w:rPr>
        <w:t xml:space="preserve">est proposée par convention. </w:t>
      </w:r>
    </w:p>
    <w:p w14:paraId="1CA0619F" w14:textId="7B97E910" w:rsidR="00E54410" w:rsidRDefault="00E54410" w:rsidP="000B6FF1">
      <w:pPr>
        <w:autoSpaceDE w:val="0"/>
        <w:autoSpaceDN w:val="0"/>
        <w:adjustRightInd w:val="0"/>
        <w:spacing w:before="120"/>
        <w:rPr>
          <w:rFonts w:cs="Tahoma"/>
          <w:szCs w:val="20"/>
        </w:rPr>
      </w:pPr>
      <w:r>
        <w:rPr>
          <w:rFonts w:cs="Tahoma"/>
          <w:szCs w:val="20"/>
        </w:rPr>
        <w:t>Elle permet au Centre de gestion d’assurer « toute tâche en matière de retraite et d’invalidité des agents » et ainsi</w:t>
      </w:r>
      <w:r w:rsidR="00D774B6">
        <w:rPr>
          <w:rFonts w:cs="Tahoma"/>
          <w:szCs w:val="20"/>
        </w:rPr>
        <w:t xml:space="preserve"> d’instruire, de contrôler et de suivre les dossiers de retraite</w:t>
      </w:r>
      <w:r w:rsidR="005D72E6">
        <w:rPr>
          <w:rFonts w:cs="Tahoma"/>
          <w:szCs w:val="20"/>
        </w:rPr>
        <w:t>, sur délégation de la collectivité ou de l’établissement public.</w:t>
      </w:r>
    </w:p>
    <w:p w14:paraId="0DD51057" w14:textId="4868DE5B" w:rsidR="005D72E6" w:rsidRDefault="00720042" w:rsidP="000B6FF1">
      <w:pPr>
        <w:autoSpaceDE w:val="0"/>
        <w:autoSpaceDN w:val="0"/>
        <w:adjustRightInd w:val="0"/>
        <w:spacing w:before="120"/>
        <w:rPr>
          <w:rFonts w:cs="Tahoma"/>
          <w:szCs w:val="20"/>
        </w:rPr>
      </w:pPr>
      <w:r>
        <w:rPr>
          <w:rFonts w:cs="Tahoma"/>
          <w:szCs w:val="20"/>
        </w:rPr>
        <w:t>La</w:t>
      </w:r>
      <w:r w:rsidR="00F74618">
        <w:rPr>
          <w:rFonts w:cs="Tahoma"/>
          <w:szCs w:val="20"/>
        </w:rPr>
        <w:t xml:space="preserve"> réalisation </w:t>
      </w:r>
      <w:r>
        <w:rPr>
          <w:rFonts w:cs="Tahoma"/>
          <w:szCs w:val="20"/>
        </w:rPr>
        <w:t xml:space="preserve">de cette </w:t>
      </w:r>
      <w:r w:rsidRPr="003D6443">
        <w:rPr>
          <w:rFonts w:cs="Tahoma"/>
          <w:szCs w:val="20"/>
        </w:rPr>
        <w:t>mission</w:t>
      </w:r>
      <w:r w:rsidR="00827F69" w:rsidRPr="003D6443">
        <w:rPr>
          <w:rFonts w:cs="Tahoma"/>
          <w:szCs w:val="20"/>
        </w:rPr>
        <w:t xml:space="preserve"> de</w:t>
      </w:r>
      <w:r w:rsidR="005D72E6" w:rsidRPr="003D6443">
        <w:rPr>
          <w:rFonts w:cs="Tahoma"/>
          <w:szCs w:val="20"/>
        </w:rPr>
        <w:t xml:space="preserve"> « retraite à façon » </w:t>
      </w:r>
      <w:r w:rsidR="00F74618" w:rsidRPr="003D6443">
        <w:rPr>
          <w:rFonts w:cs="Tahoma"/>
          <w:szCs w:val="20"/>
        </w:rPr>
        <w:t>est externalisée</w:t>
      </w:r>
      <w:r w:rsidR="00FC2203" w:rsidRPr="003D6443">
        <w:rPr>
          <w:rFonts w:cs="Tahoma"/>
          <w:szCs w:val="20"/>
        </w:rPr>
        <w:t>,</w:t>
      </w:r>
      <w:r w:rsidR="00F74618" w:rsidRPr="003D6443">
        <w:rPr>
          <w:rFonts w:cs="Tahoma"/>
          <w:szCs w:val="20"/>
        </w:rPr>
        <w:t xml:space="preserve"> </w:t>
      </w:r>
      <w:r w:rsidR="00FC2203" w:rsidRPr="003D6443">
        <w:rPr>
          <w:rFonts w:cs="Tahoma"/>
          <w:szCs w:val="20"/>
        </w:rPr>
        <w:t xml:space="preserve">par conventionnement, </w:t>
      </w:r>
      <w:r w:rsidR="00F74618" w:rsidRPr="003D6443">
        <w:rPr>
          <w:rFonts w:cs="Tahoma"/>
          <w:szCs w:val="20"/>
        </w:rPr>
        <w:t>auprès de Centres de gestion partenaires</w:t>
      </w:r>
      <w:r w:rsidR="00302309">
        <w:rPr>
          <w:rFonts w:cs="Tahoma"/>
          <w:szCs w:val="20"/>
        </w:rPr>
        <w:t>.</w:t>
      </w:r>
      <w:bookmarkStart w:id="1" w:name="_GoBack"/>
      <w:bookmarkEnd w:id="1"/>
      <w:r w:rsidR="00FC2203" w:rsidRPr="003D6443">
        <w:rPr>
          <w:rFonts w:cs="Tahoma"/>
          <w:szCs w:val="20"/>
        </w:rPr>
        <w:t xml:space="preserve"> </w:t>
      </w:r>
    </w:p>
    <w:p w14:paraId="14EAA712" w14:textId="77777777" w:rsidR="00CF6B9D" w:rsidRDefault="000B6FF1" w:rsidP="000B6FF1">
      <w:pPr>
        <w:autoSpaceDE w:val="0"/>
        <w:autoSpaceDN w:val="0"/>
        <w:adjustRightInd w:val="0"/>
        <w:spacing w:before="120"/>
        <w:rPr>
          <w:rFonts w:cs="Tahoma"/>
          <w:szCs w:val="20"/>
        </w:rPr>
      </w:pPr>
      <w:r>
        <w:rPr>
          <w:rFonts w:cs="Tahoma"/>
          <w:szCs w:val="20"/>
        </w:rPr>
        <w:t xml:space="preserve">En adhérant à cette mission, </w:t>
      </w:r>
      <w:r w:rsidR="000E53BD" w:rsidRPr="000E53BD">
        <w:rPr>
          <w:rFonts w:cs="Tahoma"/>
          <w:szCs w:val="20"/>
        </w:rPr>
        <w:t>la collectivité ou l’établissement</w:t>
      </w:r>
      <w:r w:rsidR="000E53BD" w:rsidRPr="000E53BD">
        <w:rPr>
          <w:rFonts w:cs="Tahoma"/>
          <w:i/>
          <w:szCs w:val="20"/>
        </w:rPr>
        <w:t xml:space="preserve"> </w:t>
      </w:r>
      <w:r>
        <w:rPr>
          <w:rFonts w:cs="Tahoma"/>
          <w:szCs w:val="20"/>
        </w:rPr>
        <w:t xml:space="preserve">prend acte </w:t>
      </w:r>
      <w:r w:rsidR="000E53BD">
        <w:rPr>
          <w:rFonts w:cs="Tahoma"/>
          <w:szCs w:val="20"/>
        </w:rPr>
        <w:t>de</w:t>
      </w:r>
      <w:r w:rsidR="00CF6B9D">
        <w:rPr>
          <w:rFonts w:cs="Tahoma"/>
          <w:szCs w:val="20"/>
        </w:rPr>
        <w:t xml:space="preserve"> la collaboration avec un Centre de gestion partenaire et donne délégation pour un accès aux dossiers retraite de ses actifs.</w:t>
      </w:r>
    </w:p>
    <w:p w14:paraId="449A0EB8" w14:textId="222BFE84" w:rsidR="007D5E66" w:rsidRDefault="00495E42" w:rsidP="001A0E59">
      <w:pPr>
        <w:autoSpaceDE w:val="0"/>
        <w:autoSpaceDN w:val="0"/>
        <w:adjustRightInd w:val="0"/>
        <w:spacing w:before="120"/>
        <w:rPr>
          <w:rFonts w:cs="Tahoma"/>
          <w:szCs w:val="20"/>
        </w:rPr>
      </w:pPr>
      <w:r>
        <w:rPr>
          <w:rFonts w:cs="Tahoma"/>
          <w:szCs w:val="20"/>
        </w:rPr>
        <w:t>Pour pouvoir bénéficier de ce</w:t>
      </w:r>
      <w:r w:rsidR="008479DF">
        <w:rPr>
          <w:rFonts w:cs="Tahoma"/>
          <w:szCs w:val="20"/>
        </w:rPr>
        <w:t>tte mission</w:t>
      </w:r>
      <w:r>
        <w:rPr>
          <w:rFonts w:cs="Tahoma"/>
          <w:szCs w:val="20"/>
        </w:rPr>
        <w:t>, il convient</w:t>
      </w:r>
      <w:r w:rsidR="007D5E66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de prendre une délibération autorisant l’autorité territoriale à</w:t>
      </w:r>
      <w:r w:rsidR="007D5E66">
        <w:rPr>
          <w:rFonts w:cs="Tahoma"/>
          <w:szCs w:val="20"/>
        </w:rPr>
        <w:t xml:space="preserve"> conventionner avec le </w:t>
      </w:r>
      <w:r w:rsidR="00557820">
        <w:rPr>
          <w:rFonts w:cs="Tahoma"/>
          <w:szCs w:val="20"/>
        </w:rPr>
        <w:t>Centre de Gestion de la Marn</w:t>
      </w:r>
      <w:r w:rsidR="008479DF">
        <w:rPr>
          <w:rFonts w:cs="Tahoma"/>
          <w:szCs w:val="20"/>
        </w:rPr>
        <w:t>e</w:t>
      </w:r>
      <w:r w:rsidR="00557820">
        <w:rPr>
          <w:rFonts w:cs="Tahoma"/>
          <w:szCs w:val="20"/>
        </w:rPr>
        <w:t>.</w:t>
      </w:r>
    </w:p>
    <w:p w14:paraId="4698259C" w14:textId="5C3AF39E" w:rsidR="00E36912" w:rsidRDefault="00E36912" w:rsidP="001A0E59">
      <w:pPr>
        <w:autoSpaceDE w:val="0"/>
        <w:autoSpaceDN w:val="0"/>
        <w:adjustRightInd w:val="0"/>
        <w:spacing w:before="120"/>
        <w:rPr>
          <w:rFonts w:cs="Tahoma"/>
          <w:szCs w:val="20"/>
        </w:rPr>
      </w:pPr>
    </w:p>
    <w:p w14:paraId="5CA0D342" w14:textId="20D5632B" w:rsidR="0069071C" w:rsidRDefault="0069071C" w:rsidP="001A0E59">
      <w:pPr>
        <w:autoSpaceDE w:val="0"/>
        <w:autoSpaceDN w:val="0"/>
        <w:adjustRightInd w:val="0"/>
        <w:spacing w:before="120"/>
        <w:rPr>
          <w:rFonts w:cs="Tahoma"/>
          <w:szCs w:val="20"/>
        </w:rPr>
      </w:pPr>
    </w:p>
    <w:p w14:paraId="354A3A72" w14:textId="7BB0E860" w:rsidR="0069071C" w:rsidRDefault="0069071C" w:rsidP="001A0E59">
      <w:pPr>
        <w:autoSpaceDE w:val="0"/>
        <w:autoSpaceDN w:val="0"/>
        <w:adjustRightInd w:val="0"/>
        <w:spacing w:before="120"/>
        <w:rPr>
          <w:rFonts w:cs="Tahoma"/>
          <w:szCs w:val="20"/>
        </w:rPr>
      </w:pPr>
    </w:p>
    <w:p w14:paraId="4CCF9739" w14:textId="52E9325C" w:rsidR="0069071C" w:rsidRDefault="0069071C" w:rsidP="001A0E59">
      <w:pPr>
        <w:autoSpaceDE w:val="0"/>
        <w:autoSpaceDN w:val="0"/>
        <w:adjustRightInd w:val="0"/>
        <w:spacing w:before="120"/>
        <w:rPr>
          <w:rFonts w:cs="Tahoma"/>
          <w:szCs w:val="20"/>
        </w:rPr>
      </w:pPr>
    </w:p>
    <w:p w14:paraId="573DC64B" w14:textId="77ED0109" w:rsidR="0069071C" w:rsidRDefault="0069071C" w:rsidP="001A0E59">
      <w:pPr>
        <w:autoSpaceDE w:val="0"/>
        <w:autoSpaceDN w:val="0"/>
        <w:adjustRightInd w:val="0"/>
        <w:spacing w:before="120"/>
        <w:rPr>
          <w:rFonts w:cs="Tahoma"/>
          <w:szCs w:val="20"/>
        </w:rPr>
      </w:pPr>
    </w:p>
    <w:p w14:paraId="5A4DB5A5" w14:textId="723E730C" w:rsidR="0069071C" w:rsidRDefault="0069071C" w:rsidP="001A0E59">
      <w:pPr>
        <w:autoSpaceDE w:val="0"/>
        <w:autoSpaceDN w:val="0"/>
        <w:adjustRightInd w:val="0"/>
        <w:spacing w:before="120"/>
        <w:rPr>
          <w:rFonts w:cs="Tahoma"/>
          <w:szCs w:val="20"/>
        </w:rPr>
      </w:pPr>
    </w:p>
    <w:p w14:paraId="60D09A14" w14:textId="3DB3E1E2" w:rsidR="0069071C" w:rsidRDefault="0069071C" w:rsidP="001A0E59">
      <w:pPr>
        <w:autoSpaceDE w:val="0"/>
        <w:autoSpaceDN w:val="0"/>
        <w:adjustRightInd w:val="0"/>
        <w:spacing w:before="120"/>
        <w:rPr>
          <w:rFonts w:cs="Tahoma"/>
          <w:szCs w:val="20"/>
        </w:rPr>
      </w:pPr>
    </w:p>
    <w:p w14:paraId="38ED752B" w14:textId="08B4B2D7" w:rsidR="0069071C" w:rsidRDefault="0069071C" w:rsidP="001A0E59">
      <w:pPr>
        <w:autoSpaceDE w:val="0"/>
        <w:autoSpaceDN w:val="0"/>
        <w:adjustRightInd w:val="0"/>
        <w:spacing w:before="120"/>
        <w:rPr>
          <w:rFonts w:cs="Tahoma"/>
          <w:szCs w:val="20"/>
        </w:rPr>
      </w:pPr>
    </w:p>
    <w:p w14:paraId="173D88C5" w14:textId="2EB4BCEB" w:rsidR="0069071C" w:rsidRDefault="0069071C" w:rsidP="001A0E59">
      <w:pPr>
        <w:autoSpaceDE w:val="0"/>
        <w:autoSpaceDN w:val="0"/>
        <w:adjustRightInd w:val="0"/>
        <w:spacing w:before="120"/>
        <w:rPr>
          <w:rFonts w:cs="Tahoma"/>
          <w:szCs w:val="20"/>
        </w:rPr>
      </w:pPr>
    </w:p>
    <w:p w14:paraId="66C0448F" w14:textId="7912FCD6" w:rsidR="0069071C" w:rsidRDefault="0069071C" w:rsidP="001A0E59">
      <w:pPr>
        <w:autoSpaceDE w:val="0"/>
        <w:autoSpaceDN w:val="0"/>
        <w:adjustRightInd w:val="0"/>
        <w:spacing w:before="120"/>
        <w:rPr>
          <w:rFonts w:cs="Tahoma"/>
          <w:szCs w:val="20"/>
        </w:rPr>
      </w:pPr>
    </w:p>
    <w:p w14:paraId="687A843E" w14:textId="3F302AF2" w:rsidR="0069071C" w:rsidRDefault="0069071C" w:rsidP="001A0E59">
      <w:pPr>
        <w:autoSpaceDE w:val="0"/>
        <w:autoSpaceDN w:val="0"/>
        <w:adjustRightInd w:val="0"/>
        <w:spacing w:before="120"/>
        <w:rPr>
          <w:rFonts w:cs="Tahoma"/>
          <w:szCs w:val="20"/>
        </w:rPr>
      </w:pPr>
    </w:p>
    <w:p w14:paraId="35EC5963" w14:textId="472DEBC7" w:rsidR="0069071C" w:rsidRDefault="0069071C" w:rsidP="001A0E59">
      <w:pPr>
        <w:autoSpaceDE w:val="0"/>
        <w:autoSpaceDN w:val="0"/>
        <w:adjustRightInd w:val="0"/>
        <w:spacing w:before="120"/>
        <w:rPr>
          <w:rFonts w:cs="Tahoma"/>
          <w:szCs w:val="20"/>
        </w:rPr>
      </w:pPr>
    </w:p>
    <w:p w14:paraId="47BB0FB4" w14:textId="6E564122" w:rsidR="0069071C" w:rsidRDefault="0069071C" w:rsidP="001A0E59">
      <w:pPr>
        <w:autoSpaceDE w:val="0"/>
        <w:autoSpaceDN w:val="0"/>
        <w:adjustRightInd w:val="0"/>
        <w:spacing w:before="120"/>
        <w:rPr>
          <w:rFonts w:cs="Tahoma"/>
          <w:szCs w:val="20"/>
        </w:rPr>
      </w:pPr>
    </w:p>
    <w:p w14:paraId="7E0D9FE5" w14:textId="6BBC1FC8" w:rsidR="0069071C" w:rsidRDefault="0069071C" w:rsidP="001A0E59">
      <w:pPr>
        <w:autoSpaceDE w:val="0"/>
        <w:autoSpaceDN w:val="0"/>
        <w:adjustRightInd w:val="0"/>
        <w:spacing w:before="120"/>
        <w:rPr>
          <w:rFonts w:cs="Tahoma"/>
          <w:szCs w:val="20"/>
        </w:rPr>
      </w:pPr>
    </w:p>
    <w:p w14:paraId="2B1C24C8" w14:textId="77777777" w:rsidR="0069071C" w:rsidRDefault="0069071C" w:rsidP="001A0E59">
      <w:pPr>
        <w:autoSpaceDE w:val="0"/>
        <w:autoSpaceDN w:val="0"/>
        <w:adjustRightInd w:val="0"/>
        <w:spacing w:before="120"/>
        <w:rPr>
          <w:rFonts w:cs="Tahoma"/>
          <w:szCs w:val="20"/>
        </w:rPr>
      </w:pPr>
    </w:p>
    <w:p w14:paraId="0394E44E" w14:textId="5D1143B8" w:rsidR="00E36912" w:rsidRPr="00136029" w:rsidRDefault="00E36912" w:rsidP="00E36912">
      <w:pPr>
        <w:autoSpaceDE w:val="0"/>
        <w:autoSpaceDN w:val="0"/>
        <w:adjustRightInd w:val="0"/>
        <w:spacing w:before="120"/>
        <w:jc w:val="right"/>
        <w:rPr>
          <w:rFonts w:cs="Tahoma"/>
          <w:szCs w:val="20"/>
        </w:rPr>
      </w:pPr>
      <w:r>
        <w:rPr>
          <w:rFonts w:cs="Tahoma"/>
          <w:szCs w:val="20"/>
        </w:rPr>
        <w:t>… / …</w:t>
      </w:r>
    </w:p>
    <w:p w14:paraId="06512C6B" w14:textId="40E26498" w:rsidR="007D5E66" w:rsidRDefault="00E36912" w:rsidP="0097418C">
      <w:pPr>
        <w:rPr>
          <w:b/>
        </w:rPr>
      </w:pPr>
      <w:r>
        <w:br w:type="page"/>
      </w:r>
      <w:r w:rsidR="007D5E66" w:rsidRPr="00961DDA">
        <w:rPr>
          <w:b/>
        </w:rPr>
        <w:lastRenderedPageBreak/>
        <w:t xml:space="preserve">Le conseil </w:t>
      </w:r>
      <w:r w:rsidR="0013759F" w:rsidRPr="00961DDA">
        <w:rPr>
          <w:b/>
        </w:rPr>
        <w:t>municipal</w:t>
      </w:r>
      <w:r w:rsidR="007963C3">
        <w:rPr>
          <w:b/>
        </w:rPr>
        <w:t>/communautaire/syndical</w:t>
      </w:r>
      <w:r w:rsidR="007D5E66" w:rsidRPr="00961DDA">
        <w:rPr>
          <w:b/>
        </w:rPr>
        <w:t>,</w:t>
      </w:r>
    </w:p>
    <w:p w14:paraId="4839F728" w14:textId="72CB8E7F" w:rsidR="00426638" w:rsidRDefault="00426638" w:rsidP="0097418C">
      <w:pPr>
        <w:rPr>
          <w:b/>
        </w:rPr>
      </w:pPr>
    </w:p>
    <w:p w14:paraId="06269D98" w14:textId="253D32B9" w:rsidR="00426638" w:rsidRDefault="00426638" w:rsidP="0097418C">
      <w:pPr>
        <w:rPr>
          <w:b/>
        </w:rPr>
      </w:pPr>
      <w:r>
        <w:rPr>
          <w:b/>
        </w:rPr>
        <w:t>Monsieur</w:t>
      </w:r>
      <w:r w:rsidRPr="00426638">
        <w:rPr>
          <w:b/>
          <w:i/>
        </w:rPr>
        <w:t xml:space="preserve"> (ou Madame) </w:t>
      </w:r>
      <w:r>
        <w:rPr>
          <w:b/>
        </w:rPr>
        <w:t>le Maire, rappelle à l’assemblée :</w:t>
      </w:r>
    </w:p>
    <w:p w14:paraId="37CFA7FE" w14:textId="346C8B5F" w:rsidR="00644173" w:rsidRDefault="00644173" w:rsidP="0097418C">
      <w:pPr>
        <w:rPr>
          <w:b/>
        </w:rPr>
      </w:pPr>
    </w:p>
    <w:p w14:paraId="432B9C05" w14:textId="1E35F111" w:rsidR="00644173" w:rsidRDefault="006A3FF5" w:rsidP="0097418C">
      <w:pPr>
        <w:rPr>
          <w:b/>
        </w:rPr>
      </w:pPr>
      <w:r>
        <w:rPr>
          <w:b/>
        </w:rPr>
        <w:t xml:space="preserve">Que la commune </w:t>
      </w:r>
      <w:r w:rsidRPr="00A75F45">
        <w:rPr>
          <w:b/>
          <w:i/>
        </w:rPr>
        <w:t>(ou établissement public)</w:t>
      </w:r>
      <w:r>
        <w:rPr>
          <w:b/>
        </w:rPr>
        <w:t xml:space="preserve"> conventionne avec le</w:t>
      </w:r>
      <w:r w:rsidR="00644173">
        <w:rPr>
          <w:b/>
        </w:rPr>
        <w:t xml:space="preserve"> Centre de gestion de la Marne </w:t>
      </w:r>
      <w:r>
        <w:rPr>
          <w:b/>
        </w:rPr>
        <w:t>pour assurer tout</w:t>
      </w:r>
      <w:r w:rsidR="00A75F45">
        <w:rPr>
          <w:b/>
        </w:rPr>
        <w:t>es</w:t>
      </w:r>
      <w:r>
        <w:rPr>
          <w:b/>
        </w:rPr>
        <w:t xml:space="preserve"> les missions afférentes à l’instruction, </w:t>
      </w:r>
      <w:r w:rsidR="00A75F45">
        <w:rPr>
          <w:b/>
        </w:rPr>
        <w:t>au contrôle et au suivi des dossiers de retraite</w:t>
      </w:r>
      <w:r w:rsidR="00AD7F98">
        <w:rPr>
          <w:b/>
        </w:rPr>
        <w:t xml:space="preserve"> </w:t>
      </w:r>
      <w:r w:rsidR="0050685F">
        <w:rPr>
          <w:b/>
        </w:rPr>
        <w:t>par externalisation avec un Centre de Gestion partenaire</w:t>
      </w:r>
      <w:r w:rsidR="00BB4E15">
        <w:rPr>
          <w:b/>
        </w:rPr>
        <w:t>,</w:t>
      </w:r>
    </w:p>
    <w:p w14:paraId="356A28AA" w14:textId="44A6D035" w:rsidR="0050685F" w:rsidRDefault="0050685F" w:rsidP="0097418C">
      <w:pPr>
        <w:rPr>
          <w:b/>
        </w:rPr>
      </w:pPr>
    </w:p>
    <w:p w14:paraId="4E8E61E9" w14:textId="1F8794DB" w:rsidR="0050685F" w:rsidRDefault="004F7096" w:rsidP="0097418C">
      <w:pPr>
        <w:rPr>
          <w:b/>
        </w:rPr>
      </w:pPr>
      <w:r>
        <w:rPr>
          <w:b/>
        </w:rPr>
        <w:t xml:space="preserve">Qu’en l’absence </w:t>
      </w:r>
      <w:r w:rsidR="00C21617">
        <w:rPr>
          <w:b/>
        </w:rPr>
        <w:t>de conventionnement avec le Centre de gestion, toutes les étapes de complétude, de vérification et de suivi sont assurées en autonomie par l</w:t>
      </w:r>
      <w:r w:rsidR="00024221">
        <w:rPr>
          <w:b/>
        </w:rPr>
        <w:t>a</w:t>
      </w:r>
      <w:r w:rsidR="00C21617">
        <w:rPr>
          <w:b/>
        </w:rPr>
        <w:t xml:space="preserve"> collectivité elle-même, en lien direct avec la CNRACL, sans transmission possible </w:t>
      </w:r>
      <w:r w:rsidR="001815BA">
        <w:rPr>
          <w:b/>
        </w:rPr>
        <w:t xml:space="preserve">donc </w:t>
      </w:r>
      <w:r w:rsidR="00C21617">
        <w:rPr>
          <w:b/>
        </w:rPr>
        <w:t>au CDG</w:t>
      </w:r>
      <w:r w:rsidR="00827F69">
        <w:rPr>
          <w:b/>
        </w:rPr>
        <w:t>,</w:t>
      </w:r>
      <w:r>
        <w:rPr>
          <w:b/>
        </w:rPr>
        <w:t xml:space="preserve"> </w:t>
      </w:r>
    </w:p>
    <w:p w14:paraId="2A157454" w14:textId="275866B1" w:rsidR="00AD7F98" w:rsidRDefault="00AD7F98" w:rsidP="0097418C">
      <w:pPr>
        <w:rPr>
          <w:b/>
        </w:rPr>
      </w:pPr>
    </w:p>
    <w:p w14:paraId="056868D3" w14:textId="77777777" w:rsidR="003D6443" w:rsidRPr="00961DDA" w:rsidRDefault="003D6443" w:rsidP="0097418C">
      <w:pPr>
        <w:rPr>
          <w:b/>
        </w:rPr>
      </w:pPr>
    </w:p>
    <w:p w14:paraId="73CB990D" w14:textId="2EB9C21C" w:rsidR="00D93564" w:rsidRDefault="00B040BB" w:rsidP="00D93564">
      <w:pPr>
        <w:pStyle w:val="Texte"/>
        <w:ind w:left="0"/>
        <w:rPr>
          <w:b/>
        </w:rPr>
      </w:pPr>
      <w:r>
        <w:rPr>
          <w:b/>
        </w:rPr>
        <w:t xml:space="preserve">Vu le Code général de la fonction publique, </w:t>
      </w:r>
      <w:bookmarkStart w:id="2" w:name="_Hlk180587918"/>
      <w:r>
        <w:rPr>
          <w:b/>
        </w:rPr>
        <w:t xml:space="preserve">notamment </w:t>
      </w:r>
      <w:r w:rsidR="00335CE1">
        <w:rPr>
          <w:b/>
        </w:rPr>
        <w:t xml:space="preserve">ses </w:t>
      </w:r>
      <w:r>
        <w:rPr>
          <w:b/>
        </w:rPr>
        <w:t>article</w:t>
      </w:r>
      <w:r w:rsidR="00335CE1">
        <w:rPr>
          <w:b/>
        </w:rPr>
        <w:t>s</w:t>
      </w:r>
      <w:r>
        <w:rPr>
          <w:b/>
        </w:rPr>
        <w:t xml:space="preserve"> </w:t>
      </w:r>
      <w:r w:rsidR="00335CE1">
        <w:rPr>
          <w:b/>
        </w:rPr>
        <w:t>L452-</w:t>
      </w:r>
      <w:r w:rsidR="00EE1FC3">
        <w:rPr>
          <w:b/>
        </w:rPr>
        <w:t>34, L452-35</w:t>
      </w:r>
      <w:r w:rsidR="00CE0489">
        <w:rPr>
          <w:b/>
        </w:rPr>
        <w:t xml:space="preserve">, L452-38 </w:t>
      </w:r>
      <w:r w:rsidR="00EE1FC3">
        <w:rPr>
          <w:b/>
        </w:rPr>
        <w:t xml:space="preserve">et </w:t>
      </w:r>
      <w:r>
        <w:rPr>
          <w:b/>
        </w:rPr>
        <w:t>L452-41,</w:t>
      </w:r>
      <w:bookmarkEnd w:id="2"/>
    </w:p>
    <w:p w14:paraId="0F1475E6" w14:textId="1EFBAE35" w:rsidR="00CE0489" w:rsidRDefault="007D5E66" w:rsidP="0013759F">
      <w:pPr>
        <w:pStyle w:val="Texte"/>
        <w:spacing w:before="240"/>
        <w:ind w:left="0"/>
        <w:rPr>
          <w:b/>
        </w:rPr>
      </w:pPr>
      <w:r w:rsidRPr="00961DDA">
        <w:rPr>
          <w:b/>
        </w:rPr>
        <w:t>Délibère et</w:t>
      </w:r>
      <w:r w:rsidR="00961DDA" w:rsidRPr="00961DDA">
        <w:rPr>
          <w:b/>
        </w:rPr>
        <w:t xml:space="preserve"> décide d’adhérer </w:t>
      </w:r>
      <w:r w:rsidR="00F27AB6">
        <w:rPr>
          <w:b/>
        </w:rPr>
        <w:t>à la mission</w:t>
      </w:r>
      <w:r w:rsidR="001463A6">
        <w:rPr>
          <w:b/>
        </w:rPr>
        <w:t xml:space="preserve"> </w:t>
      </w:r>
      <w:r w:rsidR="00D93564">
        <w:rPr>
          <w:b/>
        </w:rPr>
        <w:t xml:space="preserve">de retraite à façon </w:t>
      </w:r>
      <w:r w:rsidR="00FD7ACA">
        <w:rPr>
          <w:b/>
        </w:rPr>
        <w:t>du CDG </w:t>
      </w:r>
      <w:r w:rsidR="00693084">
        <w:rPr>
          <w:b/>
        </w:rPr>
        <w:t>51</w:t>
      </w:r>
      <w:r w:rsidR="00FD7ACA">
        <w:rPr>
          <w:b/>
        </w:rPr>
        <w:t>.</w:t>
      </w:r>
      <w:r w:rsidR="00961DDA" w:rsidRPr="00961DDA">
        <w:rPr>
          <w:b/>
        </w:rPr>
        <w:t xml:space="preserve"> </w:t>
      </w:r>
    </w:p>
    <w:p w14:paraId="41E4F007" w14:textId="07D4FD0E" w:rsidR="0038612A" w:rsidRPr="002757B1" w:rsidRDefault="00990DC7" w:rsidP="0038612A">
      <w:pPr>
        <w:autoSpaceDE w:val="0"/>
        <w:autoSpaceDN w:val="0"/>
        <w:adjustRightInd w:val="0"/>
        <w:spacing w:before="120"/>
        <w:rPr>
          <w:rFonts w:cs="Tahoma"/>
          <w:b/>
          <w:szCs w:val="20"/>
        </w:rPr>
      </w:pPr>
      <w:r>
        <w:rPr>
          <w:rFonts w:cs="Tahoma"/>
          <w:b/>
          <w:szCs w:val="20"/>
        </w:rPr>
        <w:t xml:space="preserve">L’adhésion à la mission de </w:t>
      </w:r>
      <w:r w:rsidR="00D93564">
        <w:rPr>
          <w:rFonts w:cs="Tahoma"/>
          <w:b/>
          <w:szCs w:val="20"/>
        </w:rPr>
        <w:t>retraite à façon</w:t>
      </w:r>
      <w:r w:rsidR="009C71C2">
        <w:rPr>
          <w:rFonts w:cs="Tahoma"/>
          <w:b/>
          <w:szCs w:val="20"/>
        </w:rPr>
        <w:t xml:space="preserve"> </w:t>
      </w:r>
      <w:r>
        <w:rPr>
          <w:rFonts w:cs="Tahoma"/>
          <w:b/>
          <w:szCs w:val="20"/>
        </w:rPr>
        <w:t xml:space="preserve">est gratuite, </w:t>
      </w:r>
      <w:bookmarkStart w:id="3" w:name="_Hlk180591082"/>
      <w:r w:rsidR="00F4463B">
        <w:rPr>
          <w:rFonts w:cs="Tahoma"/>
          <w:b/>
          <w:szCs w:val="20"/>
        </w:rPr>
        <w:t>le coût de l</w:t>
      </w:r>
      <w:r w:rsidR="00C021ED">
        <w:rPr>
          <w:rFonts w:cs="Tahoma"/>
          <w:b/>
          <w:szCs w:val="20"/>
        </w:rPr>
        <w:t xml:space="preserve">’instruction d’un dossier de retraite </w:t>
      </w:r>
      <w:r w:rsidR="0038612A" w:rsidRPr="0038612A">
        <w:rPr>
          <w:rFonts w:cs="Tahoma"/>
          <w:b/>
          <w:szCs w:val="20"/>
        </w:rPr>
        <w:t>es</w:t>
      </w:r>
      <w:r w:rsidR="0038612A" w:rsidRPr="002757B1">
        <w:rPr>
          <w:rFonts w:cs="Tahoma"/>
          <w:b/>
          <w:szCs w:val="20"/>
        </w:rPr>
        <w:t xml:space="preserve">t fixé </w:t>
      </w:r>
      <w:r w:rsidR="002F130A" w:rsidRPr="002757B1">
        <w:rPr>
          <w:rFonts w:cs="Tahoma"/>
          <w:b/>
          <w:szCs w:val="20"/>
        </w:rPr>
        <w:t xml:space="preserve">par </w:t>
      </w:r>
      <w:r w:rsidR="0038612A" w:rsidRPr="002757B1">
        <w:rPr>
          <w:rFonts w:cs="Tahoma"/>
          <w:b/>
          <w:szCs w:val="20"/>
        </w:rPr>
        <w:t>délibération du Conseil d’administration du Centre de gestion. Il pourra être revu chaque année par délibération.</w:t>
      </w:r>
    </w:p>
    <w:bookmarkEnd w:id="3"/>
    <w:p w14:paraId="1086F8DD" w14:textId="70E77579" w:rsidR="00961DDA" w:rsidRPr="00961DDA" w:rsidRDefault="00961DDA" w:rsidP="00651D17">
      <w:pPr>
        <w:pStyle w:val="Texte"/>
        <w:spacing w:before="240"/>
        <w:ind w:left="0"/>
        <w:rPr>
          <w:b/>
        </w:rPr>
      </w:pPr>
      <w:r w:rsidRPr="00961DDA">
        <w:rPr>
          <w:b/>
        </w:rPr>
        <w:t>Le Mair</w:t>
      </w:r>
      <w:r w:rsidR="0046052C">
        <w:rPr>
          <w:b/>
        </w:rPr>
        <w:t>e</w:t>
      </w:r>
      <w:r w:rsidRPr="00961DDA">
        <w:rPr>
          <w:b/>
        </w:rPr>
        <w:t xml:space="preserve"> (ou le Président) est autorisé à sign</w:t>
      </w:r>
      <w:r w:rsidR="00FD7ACA">
        <w:rPr>
          <w:b/>
        </w:rPr>
        <w:t>er</w:t>
      </w:r>
      <w:r w:rsidRPr="00961DDA">
        <w:rPr>
          <w:b/>
        </w:rPr>
        <w:t xml:space="preserve"> </w:t>
      </w:r>
      <w:r w:rsidR="00651D17">
        <w:rPr>
          <w:b/>
        </w:rPr>
        <w:t>la c</w:t>
      </w:r>
      <w:r w:rsidR="00651D17" w:rsidRPr="00651D17">
        <w:rPr>
          <w:b/>
        </w:rPr>
        <w:t>onvention d’adhésion à la mission de</w:t>
      </w:r>
      <w:r w:rsidR="002546E1">
        <w:rPr>
          <w:b/>
        </w:rPr>
        <w:t xml:space="preserve"> retraite à façon</w:t>
      </w:r>
      <w:r w:rsidR="00651D17" w:rsidRPr="00651D17">
        <w:rPr>
          <w:b/>
        </w:rPr>
        <w:t xml:space="preserve"> proposée par le CD</w:t>
      </w:r>
      <w:r w:rsidR="001E0463">
        <w:rPr>
          <w:b/>
        </w:rPr>
        <w:t>G</w:t>
      </w:r>
      <w:r w:rsidR="00B752F5">
        <w:rPr>
          <w:b/>
        </w:rPr>
        <w:t xml:space="preserve"> 51 </w:t>
      </w:r>
      <w:r w:rsidR="00651D17">
        <w:rPr>
          <w:b/>
        </w:rPr>
        <w:t xml:space="preserve">annexée à la présente délibération, </w:t>
      </w:r>
      <w:r w:rsidR="00FD7ACA">
        <w:rPr>
          <w:b/>
        </w:rPr>
        <w:t xml:space="preserve">ainsi que </w:t>
      </w:r>
      <w:r w:rsidR="00651D17">
        <w:rPr>
          <w:b/>
        </w:rPr>
        <w:t>tous les actes y afférents</w:t>
      </w:r>
      <w:r w:rsidRPr="00961DDA">
        <w:rPr>
          <w:b/>
        </w:rPr>
        <w:t>.</w:t>
      </w:r>
    </w:p>
    <w:sectPr w:rsidR="00961DDA" w:rsidRPr="00961DDA" w:rsidSect="0090323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814FC"/>
    <w:multiLevelType w:val="hybridMultilevel"/>
    <w:tmpl w:val="9ED874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B5904"/>
    <w:multiLevelType w:val="hybridMultilevel"/>
    <w:tmpl w:val="506CB6C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D583C"/>
    <w:multiLevelType w:val="multilevel"/>
    <w:tmpl w:val="191215CC"/>
    <w:lvl w:ilvl="0">
      <w:start w:val="1"/>
      <w:numFmt w:val="decimal"/>
      <w:pStyle w:val="Titre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1"/>
      <w:lvlText w:val="%1.%2"/>
      <w:lvlJc w:val="left"/>
      <w:pPr>
        <w:tabs>
          <w:tab w:val="num" w:pos="1928"/>
        </w:tabs>
        <w:ind w:left="1928" w:hanging="1191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787"/>
        </w:tabs>
        <w:ind w:left="1787" w:hanging="107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F774406"/>
    <w:multiLevelType w:val="hybridMultilevel"/>
    <w:tmpl w:val="B07061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B2004"/>
    <w:multiLevelType w:val="hybridMultilevel"/>
    <w:tmpl w:val="C270BB1A"/>
    <w:lvl w:ilvl="0" w:tplc="69C060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C2624"/>
    <w:multiLevelType w:val="hybridMultilevel"/>
    <w:tmpl w:val="6D7835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C5A01"/>
    <w:multiLevelType w:val="hybridMultilevel"/>
    <w:tmpl w:val="29E499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66"/>
    <w:rsid w:val="000215FD"/>
    <w:rsid w:val="00024221"/>
    <w:rsid w:val="00030D1A"/>
    <w:rsid w:val="00031245"/>
    <w:rsid w:val="00035D13"/>
    <w:rsid w:val="0007463F"/>
    <w:rsid w:val="000B6FF1"/>
    <w:rsid w:val="000E53BD"/>
    <w:rsid w:val="0013759F"/>
    <w:rsid w:val="001463A6"/>
    <w:rsid w:val="00162963"/>
    <w:rsid w:val="00175372"/>
    <w:rsid w:val="001815BA"/>
    <w:rsid w:val="001933AC"/>
    <w:rsid w:val="001A0E59"/>
    <w:rsid w:val="001C619D"/>
    <w:rsid w:val="001D14A2"/>
    <w:rsid w:val="001E0463"/>
    <w:rsid w:val="0021758A"/>
    <w:rsid w:val="002546E1"/>
    <w:rsid w:val="0026471E"/>
    <w:rsid w:val="002757B1"/>
    <w:rsid w:val="002F130A"/>
    <w:rsid w:val="00300119"/>
    <w:rsid w:val="00302309"/>
    <w:rsid w:val="00313751"/>
    <w:rsid w:val="00324D25"/>
    <w:rsid w:val="00335CE1"/>
    <w:rsid w:val="00370A51"/>
    <w:rsid w:val="0038612A"/>
    <w:rsid w:val="00390F56"/>
    <w:rsid w:val="003B2DDA"/>
    <w:rsid w:val="003B4165"/>
    <w:rsid w:val="003D4A67"/>
    <w:rsid w:val="003D6443"/>
    <w:rsid w:val="00426638"/>
    <w:rsid w:val="0046052C"/>
    <w:rsid w:val="00462F43"/>
    <w:rsid w:val="00495E42"/>
    <w:rsid w:val="004A5A83"/>
    <w:rsid w:val="004C0D02"/>
    <w:rsid w:val="004C1F52"/>
    <w:rsid w:val="004F00BD"/>
    <w:rsid w:val="004F7096"/>
    <w:rsid w:val="0050685F"/>
    <w:rsid w:val="00522151"/>
    <w:rsid w:val="005356A4"/>
    <w:rsid w:val="00542CB1"/>
    <w:rsid w:val="00557820"/>
    <w:rsid w:val="0056348C"/>
    <w:rsid w:val="005B0C3D"/>
    <w:rsid w:val="005D72E6"/>
    <w:rsid w:val="00644173"/>
    <w:rsid w:val="00651D17"/>
    <w:rsid w:val="00665E3B"/>
    <w:rsid w:val="00670699"/>
    <w:rsid w:val="00671F1D"/>
    <w:rsid w:val="00677CFF"/>
    <w:rsid w:val="0069071C"/>
    <w:rsid w:val="00693084"/>
    <w:rsid w:val="006A3FF5"/>
    <w:rsid w:val="006F545B"/>
    <w:rsid w:val="00715714"/>
    <w:rsid w:val="00720042"/>
    <w:rsid w:val="00786013"/>
    <w:rsid w:val="00794A36"/>
    <w:rsid w:val="007963C3"/>
    <w:rsid w:val="007C1618"/>
    <w:rsid w:val="007D5E66"/>
    <w:rsid w:val="00817B9A"/>
    <w:rsid w:val="008211F7"/>
    <w:rsid w:val="00827F69"/>
    <w:rsid w:val="008479DF"/>
    <w:rsid w:val="008C7CE1"/>
    <w:rsid w:val="0090323E"/>
    <w:rsid w:val="0091318E"/>
    <w:rsid w:val="0093634B"/>
    <w:rsid w:val="00961DDA"/>
    <w:rsid w:val="0097418C"/>
    <w:rsid w:val="00990DC7"/>
    <w:rsid w:val="009B56CC"/>
    <w:rsid w:val="009C3A5A"/>
    <w:rsid w:val="009C71C2"/>
    <w:rsid w:val="00A1512F"/>
    <w:rsid w:val="00A53116"/>
    <w:rsid w:val="00A75F45"/>
    <w:rsid w:val="00AD28E0"/>
    <w:rsid w:val="00AD7F98"/>
    <w:rsid w:val="00B040BB"/>
    <w:rsid w:val="00B15AD9"/>
    <w:rsid w:val="00B752F5"/>
    <w:rsid w:val="00BA65CD"/>
    <w:rsid w:val="00BB4E15"/>
    <w:rsid w:val="00BB719C"/>
    <w:rsid w:val="00C021ED"/>
    <w:rsid w:val="00C21617"/>
    <w:rsid w:val="00C31682"/>
    <w:rsid w:val="00C70B52"/>
    <w:rsid w:val="00C753F0"/>
    <w:rsid w:val="00C8699E"/>
    <w:rsid w:val="00CE0489"/>
    <w:rsid w:val="00CF6B9D"/>
    <w:rsid w:val="00D41625"/>
    <w:rsid w:val="00D774B6"/>
    <w:rsid w:val="00D93564"/>
    <w:rsid w:val="00E1742D"/>
    <w:rsid w:val="00E242AE"/>
    <w:rsid w:val="00E33E6C"/>
    <w:rsid w:val="00E36912"/>
    <w:rsid w:val="00E54410"/>
    <w:rsid w:val="00E662EA"/>
    <w:rsid w:val="00EB61B0"/>
    <w:rsid w:val="00EE1FC3"/>
    <w:rsid w:val="00F209E1"/>
    <w:rsid w:val="00F27AB6"/>
    <w:rsid w:val="00F4463B"/>
    <w:rsid w:val="00F74618"/>
    <w:rsid w:val="00F85E8D"/>
    <w:rsid w:val="00FC2203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059B"/>
  <w15:docId w15:val="{A4D7CA09-51DA-4EB6-99C1-67F76851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11F7"/>
    <w:pPr>
      <w:jc w:val="both"/>
    </w:pPr>
    <w:rPr>
      <w:rFonts w:ascii="Tahoma" w:hAnsi="Tahoma"/>
      <w:szCs w:val="24"/>
    </w:rPr>
  </w:style>
  <w:style w:type="paragraph" w:styleId="Titre1">
    <w:name w:val="heading 1"/>
    <w:basedOn w:val="Normal"/>
    <w:next w:val="Normal"/>
    <w:link w:val="Titre1Car"/>
    <w:qFormat/>
    <w:rsid w:val="008211F7"/>
    <w:pPr>
      <w:keepNext/>
      <w:numPr>
        <w:ilvl w:val="1"/>
        <w:numId w:val="3"/>
      </w:numPr>
      <w:spacing w:before="480" w:after="240"/>
      <w:outlineLvl w:val="0"/>
    </w:pPr>
    <w:rPr>
      <w:rFonts w:cs="Arial"/>
      <w:b/>
      <w:bCs/>
      <w:kern w:val="32"/>
      <w:sz w:val="22"/>
      <w:szCs w:val="32"/>
    </w:rPr>
  </w:style>
  <w:style w:type="paragraph" w:styleId="Titre3">
    <w:name w:val="heading 3"/>
    <w:basedOn w:val="Normal"/>
    <w:next w:val="Normal"/>
    <w:link w:val="Titre3Car"/>
    <w:qFormat/>
    <w:rsid w:val="008211F7"/>
    <w:pPr>
      <w:keepNext/>
      <w:numPr>
        <w:ilvl w:val="2"/>
        <w:numId w:val="3"/>
      </w:numPr>
      <w:spacing w:before="240" w:after="240"/>
      <w:outlineLvl w:val="2"/>
    </w:pPr>
    <w:rPr>
      <w:rFonts w:cs="Arial"/>
      <w:bCs/>
      <w:i/>
      <w:sz w:val="2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8211F7"/>
    <w:pPr>
      <w:spacing w:before="120"/>
      <w:ind w:left="1418"/>
    </w:pPr>
  </w:style>
  <w:style w:type="character" w:customStyle="1" w:styleId="Titre1Car">
    <w:name w:val="Titre 1 Car"/>
    <w:basedOn w:val="Policepardfaut"/>
    <w:link w:val="Titre1"/>
    <w:rsid w:val="008211F7"/>
    <w:rPr>
      <w:rFonts w:ascii="Tahoma" w:hAnsi="Tahoma" w:cs="Arial"/>
      <w:b/>
      <w:bCs/>
      <w:kern w:val="32"/>
      <w:sz w:val="22"/>
      <w:szCs w:val="32"/>
    </w:rPr>
  </w:style>
  <w:style w:type="character" w:customStyle="1" w:styleId="Titre3Car">
    <w:name w:val="Titre 3 Car"/>
    <w:basedOn w:val="Policepardfaut"/>
    <w:link w:val="Titre3"/>
    <w:rsid w:val="008211F7"/>
    <w:rPr>
      <w:rFonts w:ascii="Tahoma" w:hAnsi="Tahoma" w:cs="Arial"/>
      <w:bCs/>
      <w:i/>
      <w:sz w:val="22"/>
      <w:szCs w:val="26"/>
    </w:rPr>
  </w:style>
  <w:style w:type="paragraph" w:styleId="Titre">
    <w:name w:val="Title"/>
    <w:basedOn w:val="Normal"/>
    <w:link w:val="TitreCar"/>
    <w:autoRedefine/>
    <w:qFormat/>
    <w:rsid w:val="008211F7"/>
    <w:pPr>
      <w:numPr>
        <w:numId w:val="3"/>
      </w:numPr>
      <w:shd w:val="clear" w:color="auto" w:fill="CDC7C1"/>
      <w:spacing w:before="720" w:after="240"/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itreCar">
    <w:name w:val="Titre Car"/>
    <w:basedOn w:val="Policepardfaut"/>
    <w:link w:val="Titre"/>
    <w:rsid w:val="008211F7"/>
    <w:rPr>
      <w:rFonts w:ascii="Tahoma" w:hAnsi="Tahoma" w:cs="Arial"/>
      <w:b/>
      <w:bCs/>
      <w:kern w:val="28"/>
      <w:sz w:val="24"/>
      <w:szCs w:val="32"/>
      <w:shd w:val="clear" w:color="auto" w:fill="CDC7C1"/>
    </w:rPr>
  </w:style>
  <w:style w:type="paragraph" w:customStyle="1" w:styleId="Article">
    <w:name w:val="Article"/>
    <w:basedOn w:val="Texte"/>
    <w:qFormat/>
    <w:rsid w:val="007D5E66"/>
    <w:pPr>
      <w:tabs>
        <w:tab w:val="left" w:pos="2977"/>
        <w:tab w:val="left" w:pos="4678"/>
      </w:tabs>
      <w:overflowPunct w:val="0"/>
      <w:autoSpaceDE w:val="0"/>
      <w:autoSpaceDN w:val="0"/>
      <w:adjustRightInd w:val="0"/>
      <w:spacing w:before="240"/>
      <w:ind w:left="0"/>
      <w:textAlignment w:val="baseline"/>
    </w:pPr>
    <w:rPr>
      <w:rFonts w:cs="Tahoma"/>
      <w:b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030D1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CDG43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 PHILIPPON</dc:creator>
  <cp:lastModifiedBy>Margaux DOREZ</cp:lastModifiedBy>
  <cp:revision>7</cp:revision>
  <cp:lastPrinted>2018-04-09T09:25:00Z</cp:lastPrinted>
  <dcterms:created xsi:type="dcterms:W3CDTF">2024-10-23T12:53:00Z</dcterms:created>
  <dcterms:modified xsi:type="dcterms:W3CDTF">2025-01-31T10:02:00Z</dcterms:modified>
</cp:coreProperties>
</file>